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6D781" w14:textId="77777777" w:rsidR="00BA6FF1" w:rsidRPr="008D5313" w:rsidRDefault="00BA6FF1" w:rsidP="00BA6FF1">
      <w:pPr>
        <w:ind w:right="-1800"/>
        <w:rPr>
          <w:rFonts w:ascii="Times New Roman" w:hAnsi="Times New Roman"/>
          <w:highlight w:val="darkGreen"/>
        </w:rPr>
      </w:pPr>
      <w:bookmarkStart w:id="0" w:name="_GoBack"/>
      <w:bookmarkEnd w:id="0"/>
    </w:p>
    <w:tbl>
      <w:tblPr>
        <w:tblStyle w:val="TableGrid"/>
        <w:tblW w:w="12240" w:type="dxa"/>
        <w:tblInd w:w="-1692" w:type="dxa"/>
        <w:shd w:val="clear" w:color="auto" w:fill="008000"/>
        <w:tblLook w:val="00A0" w:firstRow="1" w:lastRow="0" w:firstColumn="1" w:lastColumn="0" w:noHBand="0" w:noVBand="0"/>
      </w:tblPr>
      <w:tblGrid>
        <w:gridCol w:w="12240"/>
      </w:tblGrid>
      <w:tr w:rsidR="00BA6FF1" w:rsidRPr="008D5313" w14:paraId="1D44EB7B" w14:textId="77777777">
        <w:trPr>
          <w:trHeight w:hRule="exact" w:val="86"/>
        </w:trPr>
        <w:tc>
          <w:tcPr>
            <w:tcW w:w="12240" w:type="dxa"/>
            <w:tcBorders>
              <w:bottom w:val="single" w:sz="4" w:space="0" w:color="400080"/>
            </w:tcBorders>
            <w:shd w:val="clear" w:color="auto" w:fill="008000"/>
          </w:tcPr>
          <w:p w14:paraId="6AE639D1" w14:textId="77777777" w:rsidR="00BA6FF1" w:rsidRPr="008D5313" w:rsidRDefault="00BA6FF1" w:rsidP="006A7C74">
            <w:pPr>
              <w:tabs>
                <w:tab w:val="left" w:pos="4360"/>
              </w:tabs>
              <w:ind w:right="-1800"/>
              <w:rPr>
                <w:rFonts w:ascii="Times New Roman" w:hAnsi="Times New Roman"/>
              </w:rPr>
            </w:pPr>
            <w:r w:rsidRPr="008D5313">
              <w:rPr>
                <w:rFonts w:ascii="Times New Roman" w:hAnsi="Times New Roman"/>
              </w:rPr>
              <w:tab/>
            </w:r>
          </w:p>
        </w:tc>
      </w:tr>
      <w:tr w:rsidR="00BA6FF1" w:rsidRPr="008D5313" w14:paraId="4A70A0DF" w14:textId="77777777">
        <w:trPr>
          <w:trHeight w:hRule="exact" w:val="100"/>
        </w:trPr>
        <w:tc>
          <w:tcPr>
            <w:tcW w:w="12240" w:type="dxa"/>
            <w:tcBorders>
              <w:top w:val="single" w:sz="4" w:space="0" w:color="400080"/>
              <w:left w:val="single" w:sz="4" w:space="0" w:color="400080"/>
              <w:bottom w:val="single" w:sz="4" w:space="0" w:color="400080"/>
              <w:right w:val="single" w:sz="4" w:space="0" w:color="400080"/>
            </w:tcBorders>
            <w:shd w:val="clear" w:color="auto" w:fill="400080"/>
          </w:tcPr>
          <w:p w14:paraId="780A9E87" w14:textId="77777777" w:rsidR="00BA6FF1" w:rsidRPr="008D5313" w:rsidRDefault="00BA6FF1" w:rsidP="00FB17B8">
            <w:pPr>
              <w:tabs>
                <w:tab w:val="left" w:pos="10050"/>
              </w:tabs>
              <w:ind w:right="-1800" w:firstLine="720"/>
              <w:rPr>
                <w:rFonts w:ascii="Times New Roman" w:hAnsi="Times New Roman"/>
                <w:color w:val="000090"/>
              </w:rPr>
            </w:pPr>
            <w:r w:rsidRPr="008D5313">
              <w:rPr>
                <w:rFonts w:ascii="Times New Roman" w:hAnsi="Times New Roman"/>
                <w:color w:val="000090"/>
              </w:rPr>
              <w:tab/>
            </w:r>
          </w:p>
        </w:tc>
      </w:tr>
    </w:tbl>
    <w:p w14:paraId="5DD8605B" w14:textId="77777777" w:rsidR="00BA6FF1" w:rsidRPr="008D5313" w:rsidRDefault="00BA6FF1" w:rsidP="00BA6FF1">
      <w:pPr>
        <w:ind w:right="720"/>
        <w:jc w:val="center"/>
        <w:rPr>
          <w:rFonts w:ascii="Times New Roman" w:hAnsi="Times New Roman"/>
        </w:rPr>
      </w:pPr>
    </w:p>
    <w:p w14:paraId="50F558A0" w14:textId="6E3676EB" w:rsidR="008D6645" w:rsidRPr="0077203D" w:rsidRDefault="008D77BD" w:rsidP="00BA6F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NewRomanPS-BoldMT"/>
          <w:b/>
          <w:bCs/>
          <w:sz w:val="28"/>
          <w:szCs w:val="28"/>
        </w:rPr>
      </w:pPr>
      <w:r w:rsidRPr="0077203D">
        <w:rPr>
          <w:rFonts w:ascii="Times New Roman" w:hAnsi="Times New Roman" w:cs="TimesNewRomanPS-BoldMT"/>
          <w:b/>
          <w:bCs/>
          <w:sz w:val="28"/>
          <w:szCs w:val="28"/>
        </w:rPr>
        <w:t>Institutional Biosafety Committee</w:t>
      </w:r>
      <w:r w:rsidR="008D6645" w:rsidRPr="0077203D">
        <w:rPr>
          <w:rFonts w:ascii="Times New Roman" w:hAnsi="Times New Roman" w:cs="TimesNewRomanPS-BoldMT"/>
          <w:b/>
          <w:bCs/>
          <w:sz w:val="28"/>
          <w:szCs w:val="28"/>
        </w:rPr>
        <w:t xml:space="preserve"> </w:t>
      </w:r>
    </w:p>
    <w:p w14:paraId="6F55DC98" w14:textId="77777777" w:rsidR="008D77BD" w:rsidRPr="0077203D" w:rsidRDefault="008D77BD" w:rsidP="008D664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NewRomanPS-BoldMT"/>
          <w:b/>
          <w:bCs/>
          <w:szCs w:val="28"/>
        </w:rPr>
      </w:pPr>
    </w:p>
    <w:p w14:paraId="4BFCB7B1" w14:textId="77777777" w:rsidR="008D6645" w:rsidRPr="0077203D" w:rsidRDefault="008D77BD" w:rsidP="008D664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77203D">
        <w:rPr>
          <w:rFonts w:ascii="Times New Roman" w:hAnsi="Times New Roman" w:cs="TimesNewRomanPS-BoldMT"/>
          <w:b/>
          <w:bCs/>
        </w:rPr>
        <w:t>A</w:t>
      </w:r>
      <w:r w:rsidR="008D6645" w:rsidRPr="0077203D">
        <w:rPr>
          <w:rFonts w:ascii="Times New Roman" w:hAnsi="Times New Roman" w:cs="TimesNewRomanPS-BoldMT"/>
          <w:b/>
          <w:bCs/>
        </w:rPr>
        <w:t>uthorization</w:t>
      </w:r>
    </w:p>
    <w:p w14:paraId="391FE089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</w:p>
    <w:p w14:paraId="16F5BC71" w14:textId="3F34C085" w:rsidR="008D77BD" w:rsidRPr="0077203D" w:rsidRDefault="008D6645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Hobart &amp; William Smith Colleges</w:t>
      </w:r>
      <w:r w:rsidR="008D77BD" w:rsidRPr="0077203D">
        <w:rPr>
          <w:rFonts w:ascii="Times New Roman" w:hAnsi="Times New Roman" w:cs="TimesNewRomanPS-BoldMT"/>
        </w:rPr>
        <w:t xml:space="preserve"> shall have an Institutional Biological Safety Committee established</w:t>
      </w:r>
      <w:r w:rsidRPr="0077203D">
        <w:rPr>
          <w:rFonts w:ascii="Times New Roman" w:hAnsi="Times New Roman" w:cs="TimesNewRomanPS-BoldMT"/>
        </w:rPr>
        <w:t xml:space="preserve"> </w:t>
      </w:r>
      <w:r w:rsidR="008D77BD" w:rsidRPr="0077203D">
        <w:rPr>
          <w:rFonts w:ascii="Times New Roman" w:hAnsi="Times New Roman" w:cs="TimesNewRomanPS-BoldMT"/>
        </w:rPr>
        <w:t xml:space="preserve">under the authority </w:t>
      </w:r>
      <w:r w:rsidR="008D77BD" w:rsidRPr="00687C0A">
        <w:rPr>
          <w:rFonts w:ascii="Times New Roman" w:hAnsi="Times New Roman" w:cs="TimesNewRomanPS-BoldMT"/>
        </w:rPr>
        <w:t xml:space="preserve">of </w:t>
      </w:r>
      <w:r w:rsidR="00E06275">
        <w:rPr>
          <w:rFonts w:ascii="Times New Roman" w:hAnsi="Times New Roman" w:cs="TimesNewRomanPS-BoldMT"/>
        </w:rPr>
        <w:t>t</w:t>
      </w:r>
      <w:r w:rsidR="008D77BD" w:rsidRPr="00687C0A">
        <w:rPr>
          <w:rFonts w:ascii="Times New Roman" w:hAnsi="Times New Roman" w:cs="TimesNewRomanPS-BoldMT"/>
        </w:rPr>
        <w:t>he Office of the President</w:t>
      </w:r>
      <w:r w:rsidR="00E06275">
        <w:rPr>
          <w:rFonts w:ascii="Times New Roman" w:hAnsi="Times New Roman" w:cs="TimesNewRomanPS-BoldMT"/>
        </w:rPr>
        <w:t xml:space="preserve"> and reporting to the Office of Academic and Faculty Affairs</w:t>
      </w:r>
      <w:r w:rsidR="008D77BD" w:rsidRPr="00687C0A">
        <w:rPr>
          <w:rFonts w:ascii="Times New Roman" w:hAnsi="Times New Roman" w:cs="TimesNewRomanPS-BoldMT"/>
        </w:rPr>
        <w:t>.</w:t>
      </w:r>
    </w:p>
    <w:p w14:paraId="6C4AF844" w14:textId="77777777" w:rsidR="008D6645" w:rsidRPr="0077203D" w:rsidRDefault="008D6645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</w:p>
    <w:p w14:paraId="132331E8" w14:textId="77777777" w:rsidR="0077203D" w:rsidRPr="0077203D" w:rsidRDefault="0077203D" w:rsidP="007720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77203D">
        <w:rPr>
          <w:rFonts w:ascii="Times New Roman" w:hAnsi="Times New Roman" w:cs="TimesNewRomanPS-BoldMT"/>
          <w:b/>
          <w:bCs/>
        </w:rPr>
        <w:t>General Charge</w:t>
      </w:r>
    </w:p>
    <w:p w14:paraId="483E45A8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</w:p>
    <w:p w14:paraId="18031699" w14:textId="23D78CB0" w:rsid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Institutional Biosafety Committee (IBC) is a </w:t>
      </w:r>
      <w:r w:rsidR="00E06275">
        <w:rPr>
          <w:rFonts w:ascii="Times New Roman" w:hAnsi="Times New Roman" w:cs="TimesNewRomanPS-BoldMT"/>
        </w:rPr>
        <w:t>c</w:t>
      </w:r>
      <w:r w:rsidRPr="0077203D">
        <w:rPr>
          <w:rFonts w:ascii="Times New Roman" w:hAnsi="Times New Roman" w:cs="TimesNewRomanPS-BoldMT"/>
        </w:rPr>
        <w:t xml:space="preserve">ommittee of the </w:t>
      </w:r>
      <w:r w:rsidR="00E06275">
        <w:rPr>
          <w:rFonts w:ascii="Times New Roman" w:hAnsi="Times New Roman" w:cs="TimesNewRomanPS-BoldMT"/>
        </w:rPr>
        <w:t>f</w:t>
      </w:r>
      <w:r w:rsidRPr="0077203D">
        <w:rPr>
          <w:rFonts w:ascii="Times New Roman" w:hAnsi="Times New Roman" w:cs="TimesNewRomanPS-BoldMT"/>
        </w:rPr>
        <w:t>aculty</w:t>
      </w:r>
      <w:r w:rsidR="0077203D">
        <w:rPr>
          <w:rFonts w:ascii="Times New Roman" w:hAnsi="Times New Roman" w:cs="TimesNewRomanPS-BoldMT"/>
        </w:rPr>
        <w:t xml:space="preserve"> that</w:t>
      </w:r>
      <w:r w:rsidRPr="0077203D">
        <w:rPr>
          <w:rFonts w:ascii="Times New Roman" w:hAnsi="Times New Roman" w:cs="TimesNewRomanPS-BoldMT"/>
        </w:rPr>
        <w:t xml:space="preserve"> i</w:t>
      </w:r>
      <w:r w:rsidR="0077203D">
        <w:rPr>
          <w:rFonts w:ascii="Times New Roman" w:hAnsi="Times New Roman" w:cs="TimesNewRomanPS-BoldMT"/>
        </w:rPr>
        <w:t>s responsible for reviewing all</w:t>
      </w:r>
      <w:r w:rsidRPr="0077203D">
        <w:rPr>
          <w:rFonts w:ascii="Times New Roman" w:hAnsi="Times New Roman" w:cs="TimesNewRomanPS-BoldMT"/>
        </w:rPr>
        <w:t xml:space="preserve"> research and teaching activities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conducted by faculty, staff, students, and/or visiting scientists </w:t>
      </w:r>
      <w:r w:rsidR="00E06275">
        <w:rPr>
          <w:rFonts w:ascii="Times New Roman" w:hAnsi="Times New Roman" w:cs="TimesNewRomanPS-BoldMT"/>
        </w:rPr>
        <w:t>at</w:t>
      </w:r>
      <w:r w:rsidRPr="0077203D">
        <w:rPr>
          <w:rFonts w:ascii="Times New Roman" w:hAnsi="Times New Roman" w:cs="TimesNewRomanPS-BoldMT"/>
        </w:rPr>
        <w:t xml:space="preserve"> </w:t>
      </w:r>
      <w:r w:rsidR="0077203D" w:rsidRPr="0077203D">
        <w:rPr>
          <w:rFonts w:ascii="Times New Roman" w:hAnsi="Times New Roman" w:cs="TimesNewRomanPS-BoldMT"/>
        </w:rPr>
        <w:t xml:space="preserve">Hobart </w:t>
      </w:r>
      <w:r w:rsidR="00E06275">
        <w:rPr>
          <w:rFonts w:ascii="Times New Roman" w:hAnsi="Times New Roman" w:cs="TimesNewRomanPS-BoldMT"/>
        </w:rPr>
        <w:t>and</w:t>
      </w:r>
      <w:r w:rsidR="0077203D" w:rsidRPr="0077203D">
        <w:rPr>
          <w:rFonts w:ascii="Times New Roman" w:hAnsi="Times New Roman" w:cs="TimesNewRomanPS-BoldMT"/>
        </w:rPr>
        <w:t xml:space="preserve"> William Smith Colleges</w:t>
      </w:r>
      <w:r w:rsidRPr="0077203D">
        <w:rPr>
          <w:rFonts w:ascii="Times New Roman" w:hAnsi="Times New Roman" w:cs="TimesNewRomanPS-BoldMT"/>
        </w:rPr>
        <w:t xml:space="preserve"> that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involve</w:t>
      </w:r>
      <w:r w:rsidR="00E06275">
        <w:rPr>
          <w:rFonts w:ascii="Times New Roman" w:hAnsi="Times New Roman" w:cs="TimesNewRomanPS-BoldMT"/>
        </w:rPr>
        <w:t>s</w:t>
      </w:r>
      <w:r w:rsidRPr="0077203D">
        <w:rPr>
          <w:rFonts w:ascii="Times New Roman" w:hAnsi="Times New Roman" w:cs="TimesNewRomanPS-BoldMT"/>
        </w:rPr>
        <w:t xml:space="preserve"> the use of biohazardous materials (regulated animal and plant pathogens,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biological toxins, and recombinant DNA molecules). The purpose of these reviews is to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ensure that all activities involving biohazardous materials and the facilities used to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conduct such work are in compliance with all external regulations and applicable</w:t>
      </w:r>
      <w:r w:rsidR="0077203D">
        <w:rPr>
          <w:rFonts w:ascii="Times New Roman" w:hAnsi="Times New Roman" w:cs="TimesNewRomanPS-BoldMT"/>
        </w:rPr>
        <w:t xml:space="preserve"> College</w:t>
      </w:r>
      <w:r w:rsidRPr="0077203D">
        <w:rPr>
          <w:rFonts w:ascii="Times New Roman" w:hAnsi="Times New Roman" w:cs="TimesNewRomanPS-BoldMT"/>
        </w:rPr>
        <w:t xml:space="preserve"> policies. Foremost, the IBC’s objective shall be to ensure that such activities</w:t>
      </w:r>
      <w:r w:rsidR="0077203D">
        <w:rPr>
          <w:rFonts w:ascii="Times New Roman" w:hAnsi="Times New Roman" w:cs="TimesNewRomanPS-BoldMT"/>
        </w:rPr>
        <w:t xml:space="preserve"> meet standards of good </w:t>
      </w:r>
      <w:r w:rsidRPr="0077203D">
        <w:rPr>
          <w:rFonts w:ascii="Times New Roman" w:hAnsi="Times New Roman" w:cs="TimesNewRomanPS-BoldMT"/>
        </w:rPr>
        <w:t>biological safety practice emphasizing protection of personnel,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the general public, and the environment. To this end, the IBC shall assist principal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investigators </w:t>
      </w:r>
      <w:r w:rsidR="0077203D">
        <w:rPr>
          <w:rFonts w:ascii="Times New Roman" w:hAnsi="Times New Roman" w:cs="TimesNewRomanPS-BoldMT"/>
        </w:rPr>
        <w:t xml:space="preserve">(PIs) </w:t>
      </w:r>
      <w:r w:rsidRPr="0077203D">
        <w:rPr>
          <w:rFonts w:ascii="Times New Roman" w:hAnsi="Times New Roman" w:cs="TimesNewRomanPS-BoldMT"/>
        </w:rPr>
        <w:t>in meeting their responsibilities; impose requirements</w:t>
      </w:r>
      <w:r w:rsidR="00E06275">
        <w:rPr>
          <w:rFonts w:ascii="Times New Roman" w:hAnsi="Times New Roman" w:cs="TimesNewRomanPS-BoldMT"/>
        </w:rPr>
        <w:t xml:space="preserve">; and </w:t>
      </w:r>
      <w:r w:rsidRPr="0077203D">
        <w:rPr>
          <w:rFonts w:ascii="Times New Roman" w:hAnsi="Times New Roman" w:cs="TimesNewRomanPS-BoldMT"/>
        </w:rPr>
        <w:t>review and approve policies, procedures, programs, and facilities pursuant to the safe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use of biological agents, other biological materials, and toxins.</w:t>
      </w:r>
    </w:p>
    <w:p w14:paraId="4986B9E2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71047801" w14:textId="0EE7D080" w:rsidR="000D1F5F" w:rsidRDefault="008D77BD" w:rsidP="000D1F5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IBC shall function so as to discharge the </w:t>
      </w:r>
      <w:r w:rsidR="0077203D">
        <w:rPr>
          <w:rFonts w:ascii="Times New Roman" w:hAnsi="Times New Roman" w:cs="TimesNewRomanPS-BoldMT"/>
        </w:rPr>
        <w:t>College’s</w:t>
      </w:r>
      <w:r w:rsidRPr="0077203D">
        <w:rPr>
          <w:rFonts w:ascii="Times New Roman" w:hAnsi="Times New Roman" w:cs="TimesNewRomanPS-BoldMT"/>
        </w:rPr>
        <w:t xml:space="preserve"> obligations and responsibilities</w:t>
      </w:r>
      <w:r w:rsidR="00E06275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placed upon the IBC by current governmental requirements, including those described in</w:t>
      </w:r>
      <w:r w:rsidR="00E06275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the National Institutes of Health Guidelines (NIH), the Centers for Disease Control and</w:t>
      </w:r>
      <w:r w:rsidR="00E06275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Prevention (CDC) Guidelines, </w:t>
      </w:r>
      <w:r w:rsidR="00E06275">
        <w:rPr>
          <w:rFonts w:ascii="Times New Roman" w:hAnsi="Times New Roman" w:cs="TimesNewRomanPS-BoldMT"/>
        </w:rPr>
        <w:t xml:space="preserve">the </w:t>
      </w:r>
      <w:r w:rsidRPr="0077203D">
        <w:rPr>
          <w:rFonts w:ascii="Times New Roman" w:hAnsi="Times New Roman" w:cs="TimesNewRomanPS-BoldMT"/>
        </w:rPr>
        <w:t>Occupational Health &amp; Safety Administration (OSHA)</w:t>
      </w:r>
      <w:r w:rsidR="00E06275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Regulations, and those other requirements that overlap with or are reviewed by other</w:t>
      </w:r>
      <w:r w:rsidR="00E06275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established </w:t>
      </w:r>
      <w:r w:rsidR="00E06275">
        <w:rPr>
          <w:rFonts w:ascii="Times New Roman" w:hAnsi="Times New Roman" w:cs="TimesNewRomanPS-BoldMT"/>
        </w:rPr>
        <w:t xml:space="preserve">committees of the </w:t>
      </w:r>
      <w:r w:rsidR="0077203D">
        <w:rPr>
          <w:rFonts w:ascii="Times New Roman" w:hAnsi="Times New Roman" w:cs="TimesNewRomanPS-BoldMT"/>
        </w:rPr>
        <w:t>College</w:t>
      </w:r>
      <w:r w:rsidR="00E06275">
        <w:rPr>
          <w:rFonts w:ascii="Times New Roman" w:hAnsi="Times New Roman" w:cs="TimesNewRomanPS-BoldMT"/>
        </w:rPr>
        <w:t>s</w:t>
      </w:r>
      <w:r w:rsidR="0077203D">
        <w:rPr>
          <w:rFonts w:ascii="Times New Roman" w:hAnsi="Times New Roman" w:cs="TimesNewRomanPS-BoldMT"/>
        </w:rPr>
        <w:t xml:space="preserve">. </w:t>
      </w:r>
      <w:r w:rsidRPr="0077203D">
        <w:rPr>
          <w:rFonts w:ascii="Times New Roman" w:hAnsi="Times New Roman" w:cs="TimesNewRomanPS-BoldMT"/>
        </w:rPr>
        <w:t xml:space="preserve">The IBC is expected to advise the </w:t>
      </w:r>
      <w:r w:rsidR="0077203D">
        <w:rPr>
          <w:rFonts w:ascii="Times New Roman" w:hAnsi="Times New Roman" w:cs="TimesNewRomanPS-BoldMT"/>
        </w:rPr>
        <w:t>Colleges</w:t>
      </w:r>
      <w:r w:rsidRPr="0077203D">
        <w:rPr>
          <w:rFonts w:ascii="Times New Roman" w:hAnsi="Times New Roman" w:cs="TimesNewRomanPS-BoldMT"/>
        </w:rPr>
        <w:t xml:space="preserve"> and establish policies to guide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principal investigators and the </w:t>
      </w:r>
      <w:r w:rsidR="001A2975" w:rsidRPr="00DB2805">
        <w:rPr>
          <w:rFonts w:ascii="Times New Roman" w:hAnsi="Times New Roman" w:cs="TimesNewRomanPS-BoldMT"/>
        </w:rPr>
        <w:t xml:space="preserve">Officer </w:t>
      </w:r>
      <w:r w:rsidRPr="00DB2805">
        <w:rPr>
          <w:rFonts w:ascii="Times New Roman" w:hAnsi="Times New Roman" w:cs="TimesNewRomanPS-BoldMT"/>
        </w:rPr>
        <w:t>of Environmental Health &amp; Safety (EH&amp;S)</w:t>
      </w:r>
      <w:r w:rsidRPr="0077203D">
        <w:rPr>
          <w:rFonts w:ascii="Times New Roman" w:hAnsi="Times New Roman" w:cs="TimesNewRomanPS-BoldMT"/>
        </w:rPr>
        <w:t xml:space="preserve"> in</w:t>
      </w:r>
      <w:r w:rsidR="0077203D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carrying out the </w:t>
      </w:r>
      <w:r w:rsidR="00E06275">
        <w:rPr>
          <w:rFonts w:ascii="Times New Roman" w:hAnsi="Times New Roman" w:cs="TimesNewRomanPS-BoldMT"/>
        </w:rPr>
        <w:t>College</w:t>
      </w:r>
      <w:r w:rsidR="000D1F5F">
        <w:rPr>
          <w:rFonts w:ascii="Times New Roman" w:hAnsi="Times New Roman" w:cs="TimesNewRomanPS-BoldMT"/>
        </w:rPr>
        <w:t>s</w:t>
      </w:r>
      <w:r w:rsidR="00E06275">
        <w:rPr>
          <w:rFonts w:ascii="Times New Roman" w:hAnsi="Times New Roman" w:cs="TimesNewRomanPS-BoldMT"/>
        </w:rPr>
        <w:t>’</w:t>
      </w:r>
      <w:r w:rsidRPr="0077203D">
        <w:rPr>
          <w:rFonts w:ascii="Times New Roman" w:hAnsi="Times New Roman" w:cs="TimesNewRomanPS-BoldMT"/>
        </w:rPr>
        <w:t xml:space="preserve"> Biosafety Program in the acquisition, use, training, transfer,</w:t>
      </w:r>
      <w:r w:rsidR="000D1F5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storage, disposal, and emergency response procedures for all biosafety activities. Upon</w:t>
      </w:r>
      <w:r w:rsidR="000D1F5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request, the IBC shall review and comment on proposed external regulations dealing with</w:t>
      </w:r>
      <w:r w:rsidR="000D1F5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biosafety. </w:t>
      </w:r>
    </w:p>
    <w:p w14:paraId="537CAD2E" w14:textId="77777777" w:rsidR="000D1F5F" w:rsidRDefault="000D1F5F" w:rsidP="000D1F5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710CB06C" w14:textId="77777777" w:rsidR="000D1F5F" w:rsidRPr="000D1F5F" w:rsidRDefault="000D1F5F" w:rsidP="000D1F5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0D1F5F">
        <w:rPr>
          <w:rFonts w:ascii="Times New Roman" w:hAnsi="Times New Roman" w:cs="TimesNewRomanPS-BoldMT"/>
          <w:b/>
          <w:bCs/>
        </w:rPr>
        <w:t>Definitions</w:t>
      </w:r>
    </w:p>
    <w:p w14:paraId="0ED922F6" w14:textId="77777777" w:rsidR="008D77BD" w:rsidRPr="0077203D" w:rsidRDefault="008D77BD" w:rsidP="000D1F5F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3B1EF76E" w14:textId="77777777" w:rsidR="00F021B8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  <w:r w:rsidRPr="0077203D">
        <w:rPr>
          <w:rFonts w:ascii="Times New Roman" w:hAnsi="Times New Roman" w:cs="TimesNewRomanPS-BoldMT"/>
          <w:i/>
          <w:iCs/>
        </w:rPr>
        <w:t>Biohazardous Agents</w:t>
      </w:r>
    </w:p>
    <w:p w14:paraId="2E071C6A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61D9E619" w14:textId="77777777" w:rsidR="008D77BD" w:rsidRPr="00AD228B" w:rsidRDefault="008D77BD" w:rsidP="00AD22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AD228B">
        <w:rPr>
          <w:rFonts w:ascii="Times New Roman" w:hAnsi="Times New Roman" w:cs="TimesNewRomanPS-BoldMT"/>
        </w:rPr>
        <w:t>Infectious/pathogenic agents classified in the following categories: Class 2, 3,</w:t>
      </w:r>
      <w:r w:rsidR="00F021B8" w:rsidRPr="00AD228B">
        <w:rPr>
          <w:rFonts w:ascii="Times New Roman" w:hAnsi="Times New Roman" w:cs="TimesNewRomanPS-BoldMT"/>
        </w:rPr>
        <w:t xml:space="preserve"> </w:t>
      </w:r>
      <w:r w:rsidRPr="00AD228B">
        <w:rPr>
          <w:rFonts w:ascii="Times New Roman" w:hAnsi="Times New Roman" w:cs="TimesNewRomanPS-BoldMT"/>
        </w:rPr>
        <w:t xml:space="preserve">and 4 bacterial, fungal, parasitic, viral, </w:t>
      </w:r>
      <w:proofErr w:type="spellStart"/>
      <w:r w:rsidRPr="00AD228B">
        <w:rPr>
          <w:rFonts w:ascii="Times New Roman" w:hAnsi="Times New Roman" w:cs="TimesNewRomanPS-BoldMT"/>
        </w:rPr>
        <w:t>rickettsial</w:t>
      </w:r>
      <w:proofErr w:type="spellEnd"/>
      <w:r w:rsidRPr="00AD228B">
        <w:rPr>
          <w:rFonts w:ascii="Times New Roman" w:hAnsi="Times New Roman" w:cs="TimesNewRomanPS-BoldMT"/>
        </w:rPr>
        <w:t xml:space="preserve"> or chlamydial agents as</w:t>
      </w:r>
      <w:r w:rsidR="00AD228B" w:rsidRPr="00AD228B">
        <w:rPr>
          <w:rFonts w:ascii="Times New Roman" w:hAnsi="Times New Roman" w:cs="TimesNewRomanPS-BoldMT"/>
        </w:rPr>
        <w:t xml:space="preserve"> </w:t>
      </w:r>
      <w:r w:rsidRPr="00AD228B">
        <w:rPr>
          <w:rFonts w:ascii="Times New Roman" w:hAnsi="Times New Roman" w:cs="TimesNewRomanPS-BoldMT"/>
        </w:rPr>
        <w:t xml:space="preserve">defined by the National Institutes of Health (NIH) </w:t>
      </w:r>
      <w:r w:rsidRPr="00AD228B">
        <w:rPr>
          <w:rFonts w:ascii="Times New Roman" w:hAnsi="Times New Roman" w:cs="TimesNewRomanPS-BoldMT"/>
          <w:b/>
          <w:bCs/>
        </w:rPr>
        <w:t>or</w:t>
      </w:r>
      <w:r w:rsidRPr="00AD228B">
        <w:rPr>
          <w:rFonts w:ascii="Times New Roman" w:hAnsi="Times New Roman" w:cs="TimesNewRomanPS-BoldMT"/>
        </w:rPr>
        <w:t>,</w:t>
      </w:r>
    </w:p>
    <w:p w14:paraId="7F5D33E1" w14:textId="77777777" w:rsidR="008D77BD" w:rsidRPr="00AD228B" w:rsidRDefault="00F021B8" w:rsidP="00AD22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AD228B">
        <w:rPr>
          <w:rFonts w:ascii="Times New Roman" w:hAnsi="Times New Roman" w:cs="TimesNewRomanPS-BoldMT"/>
        </w:rPr>
        <w:lastRenderedPageBreak/>
        <w:t>Regulated</w:t>
      </w:r>
      <w:r w:rsidR="008D77BD" w:rsidRPr="00AD228B">
        <w:rPr>
          <w:rFonts w:ascii="Times New Roman" w:hAnsi="Times New Roman" w:cs="TimesNewRomanPS-BoldMT"/>
        </w:rPr>
        <w:t xml:space="preserve"> agents that have the potential for causing disease in healthy individuals,</w:t>
      </w:r>
    </w:p>
    <w:p w14:paraId="359C4709" w14:textId="77777777" w:rsidR="008D77BD" w:rsidRPr="00AD228B" w:rsidRDefault="008D77BD" w:rsidP="00AD228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AD228B">
        <w:rPr>
          <w:rFonts w:ascii="Times New Roman" w:hAnsi="Times New Roman" w:cs="TimesNewRomanPS-BoldMT"/>
        </w:rPr>
        <w:t>animals, or plants.</w:t>
      </w:r>
    </w:p>
    <w:p w14:paraId="475DE755" w14:textId="308DE969" w:rsidR="00AD228B" w:rsidRDefault="008D77BD" w:rsidP="00AD22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AD228B">
        <w:rPr>
          <w:rFonts w:ascii="Times New Roman" w:hAnsi="Times New Roman" w:cs="TimesNewRomanPS-BoldMT"/>
        </w:rPr>
        <w:t xml:space="preserve">Biological toxins </w:t>
      </w:r>
      <w:r w:rsidR="00DF36A0">
        <w:rPr>
          <w:rFonts w:ascii="Times New Roman" w:hAnsi="Times New Roman" w:cs="TimesNewRomanPS-BoldMT"/>
        </w:rPr>
        <w:t>i</w:t>
      </w:r>
      <w:r w:rsidR="00DF36A0" w:rsidRPr="00AD228B">
        <w:rPr>
          <w:rFonts w:ascii="Times New Roman" w:hAnsi="Times New Roman" w:cs="TimesNewRomanPS-BoldMT"/>
        </w:rPr>
        <w:t xml:space="preserve">nclude </w:t>
      </w:r>
      <w:r w:rsidRPr="00AD228B">
        <w:rPr>
          <w:rFonts w:ascii="Times New Roman" w:hAnsi="Times New Roman" w:cs="TimesNewRomanPS-BoldMT"/>
        </w:rPr>
        <w:t>metabolites of living organisms and materials rendered</w:t>
      </w:r>
      <w:r w:rsidR="00AD228B">
        <w:rPr>
          <w:rFonts w:ascii="Times New Roman" w:hAnsi="Times New Roman" w:cs="TimesNewRomanPS-BoldMT"/>
        </w:rPr>
        <w:t xml:space="preserve"> </w:t>
      </w:r>
      <w:r w:rsidRPr="00AD228B">
        <w:rPr>
          <w:rFonts w:ascii="Times New Roman" w:hAnsi="Times New Roman" w:cs="TimesNewRomanPS-BoldMT"/>
        </w:rPr>
        <w:t>toxic by the metabolic activities of microorganisms (living or dead).</w:t>
      </w:r>
    </w:p>
    <w:p w14:paraId="78807128" w14:textId="77777777" w:rsidR="008D77BD" w:rsidRPr="00AD228B" w:rsidRDefault="008D77BD" w:rsidP="00AD228B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7281FE18" w14:textId="77777777" w:rsid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  <w:r w:rsidRPr="0077203D">
        <w:rPr>
          <w:rFonts w:ascii="Times New Roman" w:hAnsi="Times New Roman" w:cs="TimesNewRomanPS-BoldMT"/>
          <w:i/>
          <w:iCs/>
        </w:rPr>
        <w:t>Recombinant DNA Molecules</w:t>
      </w:r>
    </w:p>
    <w:p w14:paraId="7FFDD494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47D12754" w14:textId="77777777" w:rsidR="008D77BD" w:rsidRPr="00AD228B" w:rsidRDefault="008D77BD" w:rsidP="00AD22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AD228B">
        <w:rPr>
          <w:rFonts w:ascii="Times New Roman" w:hAnsi="Times New Roman" w:cs="TimesNewRomanPS-BoldMT"/>
        </w:rPr>
        <w:t>Molecules which are constructed outside living cells by joining natural or</w:t>
      </w:r>
      <w:r w:rsidR="00AD228B" w:rsidRPr="00AD228B">
        <w:rPr>
          <w:rFonts w:ascii="Times New Roman" w:hAnsi="Times New Roman" w:cs="TimesNewRomanPS-BoldMT"/>
        </w:rPr>
        <w:t xml:space="preserve"> </w:t>
      </w:r>
      <w:r w:rsidRPr="00AD228B">
        <w:rPr>
          <w:rFonts w:ascii="Times New Roman" w:hAnsi="Times New Roman" w:cs="TimesNewRomanPS-BoldMT"/>
        </w:rPr>
        <w:t>synthetic DNA segments to DNA molecules that can replicate in a living cell</w:t>
      </w:r>
      <w:r w:rsidR="00AD228B" w:rsidRPr="00AD228B">
        <w:rPr>
          <w:rFonts w:ascii="Times New Roman" w:hAnsi="Times New Roman" w:cs="TimesNewRomanPS-BoldMT"/>
        </w:rPr>
        <w:t xml:space="preserve"> </w:t>
      </w:r>
      <w:r w:rsidRPr="00AD228B">
        <w:rPr>
          <w:rFonts w:ascii="Times New Roman" w:hAnsi="Times New Roman" w:cs="TimesNewRomanPS-BoldMT"/>
          <w:b/>
          <w:bCs/>
        </w:rPr>
        <w:t>or</w:t>
      </w:r>
      <w:r w:rsidRPr="00AD228B">
        <w:rPr>
          <w:rFonts w:ascii="Times New Roman" w:hAnsi="Times New Roman" w:cs="TimesNewRomanPS-BoldMT"/>
          <w:bCs/>
        </w:rPr>
        <w:t>,</w:t>
      </w:r>
    </w:p>
    <w:p w14:paraId="3DDE9B35" w14:textId="77777777" w:rsidR="008D77BD" w:rsidRPr="00AD228B" w:rsidRDefault="008D77BD" w:rsidP="00AD228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AD228B">
        <w:rPr>
          <w:rFonts w:ascii="Times New Roman" w:hAnsi="Times New Roman" w:cs="TimesNewRomanPS-BoldMT"/>
        </w:rPr>
        <w:t>DNA molecules that result from the replication of those described in “A”</w:t>
      </w:r>
      <w:r w:rsidR="00DF36A0">
        <w:rPr>
          <w:rFonts w:ascii="Times New Roman" w:hAnsi="Times New Roman" w:cs="TimesNewRomanPS-BoldMT"/>
        </w:rPr>
        <w:t xml:space="preserve"> </w:t>
      </w:r>
      <w:r w:rsidRPr="00AD228B">
        <w:rPr>
          <w:rFonts w:ascii="Times New Roman" w:hAnsi="Times New Roman" w:cs="TimesNewRomanPS-BoldMT"/>
        </w:rPr>
        <w:t>above.</w:t>
      </w:r>
    </w:p>
    <w:p w14:paraId="1FF503FE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15A6E28B" w14:textId="77777777" w:rsidR="00AD228B" w:rsidRPr="00AD228B" w:rsidRDefault="00AD228B" w:rsidP="00AD2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AD228B">
        <w:rPr>
          <w:rFonts w:ascii="Times New Roman" w:hAnsi="Times New Roman" w:cs="TimesNewRomanPS-BoldMT"/>
          <w:b/>
          <w:bCs/>
        </w:rPr>
        <w:t>Operational Guidelines</w:t>
      </w:r>
    </w:p>
    <w:p w14:paraId="3E4DBBF9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47311241" w14:textId="73FF928D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All activities involving the use of biohazardous materials must be reviewed and approved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by the IBC either prior to or concurrently with the start of the activities depending on the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classification of the agent or the containment level required (see below). The IBC may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approve research protocols with or without modifications, or withhold approval of all or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any portion of a protocol. Approval may be granted for no more than </w:t>
      </w:r>
      <w:r w:rsidR="00AD228B">
        <w:rPr>
          <w:rFonts w:ascii="Times New Roman" w:hAnsi="Times New Roman" w:cs="TimesNewRomanPS-BoldMT"/>
        </w:rPr>
        <w:t>two</w:t>
      </w:r>
      <w:r w:rsidRPr="0077203D">
        <w:rPr>
          <w:rFonts w:ascii="Times New Roman" w:hAnsi="Times New Roman" w:cs="TimesNewRomanPS-BoldMT"/>
        </w:rPr>
        <w:t xml:space="preserve"> years after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review at a convened meeting of a quorum of the IBC (i.e., </w:t>
      </w:r>
      <w:r w:rsidR="00AD228B">
        <w:rPr>
          <w:rFonts w:ascii="Times New Roman" w:hAnsi="Times New Roman" w:cs="TimesNewRomanPS-BoldMT"/>
        </w:rPr>
        <w:t>four or more members</w:t>
      </w:r>
      <w:r w:rsidRPr="0077203D">
        <w:rPr>
          <w:rFonts w:ascii="Times New Roman" w:hAnsi="Times New Roman" w:cs="TimesNewRomanPS-BoldMT"/>
        </w:rPr>
        <w:t>) with the affirmative vote of a majority of those present. Any changes in agents,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protocols or project personnel must be communicated to and reviewed by the IBC on an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annual basis. All biosafety protocols shall be available for review by any member of the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IBC. The IBC shall maintain records of research protocol reviews, minutes of meetings,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including records of attendance and IBC deliberations. All deliberations of the IBC shall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meet </w:t>
      </w:r>
      <w:r w:rsidR="00AD228B" w:rsidRPr="00AD228B">
        <w:rPr>
          <w:rFonts w:ascii="Times New Roman" w:hAnsi="Times New Roman" w:cs="TimesNewRomanPS-BoldMT"/>
        </w:rPr>
        <w:t xml:space="preserve">Hobart </w:t>
      </w:r>
      <w:r w:rsidR="00C20257">
        <w:rPr>
          <w:rFonts w:ascii="Times New Roman" w:hAnsi="Times New Roman" w:cs="TimesNewRomanPS-BoldMT"/>
        </w:rPr>
        <w:t>and</w:t>
      </w:r>
      <w:r w:rsidR="00AD228B" w:rsidRPr="00AD228B">
        <w:rPr>
          <w:rFonts w:ascii="Times New Roman" w:hAnsi="Times New Roman" w:cs="TimesNewRomanPS-BoldMT"/>
        </w:rPr>
        <w:t xml:space="preserve"> William Smith Colleges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confidentiality guidelines. In accordance with the NIH Guidelines, no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member of an IBC may be involved (except to provide information requested by the IBC)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in the review or approval of a project in which she/he has been or expects to be engaged or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has a direct financial interest.</w:t>
      </w:r>
    </w:p>
    <w:p w14:paraId="40961670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58E7A3D2" w14:textId="77777777" w:rsid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AD228B">
        <w:rPr>
          <w:rFonts w:ascii="Times New Roman" w:hAnsi="Times New Roman" w:cs="TimesNewRomanPS-BoldMT"/>
          <w:b/>
          <w:bCs/>
        </w:rPr>
        <w:t>Coordination with Other University Committees</w:t>
      </w:r>
    </w:p>
    <w:p w14:paraId="4984A706" w14:textId="77777777" w:rsidR="008D77BD" w:rsidRP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</w:p>
    <w:p w14:paraId="01087510" w14:textId="77777777" w:rsidR="00AD228B" w:rsidRDefault="008D77BD" w:rsidP="00AD228B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All human subjects protocols involving gene transfer or gene therapy, as defined in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the NIH Recombinant DNA Research Guidelines, shall be reviewed by the IBC in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coordination with the Human Subjects Committee. All protocols that involve gene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transfer or gene therapy in non-human mammal subjects, shall be reviewed by the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IBC in coordination with the Institutional Animal Care and Use Committee. </w:t>
      </w:r>
    </w:p>
    <w:p w14:paraId="3C7F9F29" w14:textId="77777777" w:rsidR="00AD228B" w:rsidRDefault="00AD228B" w:rsidP="00AD228B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0709B227" w14:textId="77777777" w:rsidR="00AD228B" w:rsidRDefault="008D77BD" w:rsidP="00AD228B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AD228B">
        <w:rPr>
          <w:rFonts w:ascii="Times New Roman" w:hAnsi="Times New Roman" w:cs="TimesNewRomanPS-BoldMT"/>
          <w:b/>
          <w:bCs/>
        </w:rPr>
        <w:t>Sanctions</w:t>
      </w:r>
    </w:p>
    <w:p w14:paraId="1A044156" w14:textId="77777777" w:rsidR="008D77BD" w:rsidRPr="00AD228B" w:rsidRDefault="008D77BD" w:rsidP="00AD228B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</w:p>
    <w:p w14:paraId="304B3871" w14:textId="2EA62E59" w:rsid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The IBC shall assess suspected or alleged violations of protocols, external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regulations, or </w:t>
      </w:r>
      <w:r w:rsidR="00AD228B">
        <w:rPr>
          <w:rFonts w:ascii="Times New Roman" w:hAnsi="Times New Roman" w:cs="TimesNewRomanPS-BoldMT"/>
        </w:rPr>
        <w:t>Colleges</w:t>
      </w:r>
      <w:r w:rsidRPr="0077203D">
        <w:rPr>
          <w:rFonts w:ascii="Times New Roman" w:hAnsi="Times New Roman" w:cs="TimesNewRomanPS-BoldMT"/>
        </w:rPr>
        <w:t xml:space="preserve"> policies that involve biohazardous materials. Activities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in which serious or continuing violations occur may be suspended by the IBC. In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such cases, the IBC will immediately notify the affected investigator(s), the</w:t>
      </w:r>
      <w:r w:rsidR="00AD228B">
        <w:rPr>
          <w:rFonts w:ascii="Times New Roman" w:hAnsi="Times New Roman" w:cs="TimesNewRomanPS-BoldMT"/>
        </w:rPr>
        <w:t xml:space="preserve"> Provost</w:t>
      </w:r>
      <w:r w:rsidRPr="0077203D">
        <w:rPr>
          <w:rFonts w:ascii="Times New Roman" w:hAnsi="Times New Roman" w:cs="TimesNewRomanPS-BoldMT"/>
        </w:rPr>
        <w:t>, the Office of Sponsored Programs, and others as required by</w:t>
      </w:r>
      <w:r w:rsidR="00AD228B">
        <w:rPr>
          <w:rFonts w:ascii="Times New Roman" w:hAnsi="Times New Roman" w:cs="TimesNewRomanPS-BoldMT"/>
        </w:rPr>
        <w:t xml:space="preserve"> Colleges</w:t>
      </w:r>
      <w:r w:rsidRPr="0077203D">
        <w:rPr>
          <w:rFonts w:ascii="Times New Roman" w:hAnsi="Times New Roman" w:cs="TimesNewRomanPS-BoldMT"/>
        </w:rPr>
        <w:t xml:space="preserve"> policies and external regulations.</w:t>
      </w:r>
      <w:r w:rsidR="00AD228B">
        <w:rPr>
          <w:rFonts w:ascii="Times New Roman" w:hAnsi="Times New Roman" w:cs="TimesNewRomanPS-BoldMT"/>
        </w:rPr>
        <w:t xml:space="preserve"> </w:t>
      </w:r>
    </w:p>
    <w:p w14:paraId="50C1035E" w14:textId="77777777" w:rsidR="00DF36A0" w:rsidRDefault="00DF36A0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17AB0F75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following operational guidelines define the biohazardous agents regulated by the </w:t>
      </w:r>
      <w:r w:rsidRPr="0077203D">
        <w:rPr>
          <w:rFonts w:ascii="Times New Roman" w:hAnsi="Times New Roman" w:cs="TimesNewRomanPS-BoldMT"/>
        </w:rPr>
        <w:lastRenderedPageBreak/>
        <w:t>IBC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and the timing of the review and approval process.</w:t>
      </w:r>
    </w:p>
    <w:p w14:paraId="187CBAF9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041D902B" w14:textId="77777777" w:rsidR="00AD228B" w:rsidRP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i/>
          <w:iCs/>
        </w:rPr>
      </w:pPr>
      <w:r w:rsidRPr="00AD228B">
        <w:rPr>
          <w:rFonts w:ascii="Times New Roman" w:hAnsi="Times New Roman" w:cs="TimesNewRomanPS-BoldMT"/>
          <w:b/>
          <w:i/>
          <w:iCs/>
        </w:rPr>
        <w:t>Biohazardous Agents</w:t>
      </w:r>
    </w:p>
    <w:p w14:paraId="7D306D73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45E3DEF2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Activities involving Class 2, Class 3, and Class 4 biohazardous agents must be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reviewed and approved by the IBC </w:t>
      </w:r>
      <w:r w:rsidRPr="00AD228B">
        <w:rPr>
          <w:rFonts w:ascii="Times New Roman" w:hAnsi="Times New Roman" w:cs="TimesNewRomanPS-BoldMT"/>
          <w:i/>
        </w:rPr>
        <w:t>prior</w:t>
      </w:r>
      <w:r w:rsidRPr="0077203D">
        <w:rPr>
          <w:rFonts w:ascii="Times New Roman" w:hAnsi="Times New Roman" w:cs="TimesNewRomanPS-BoldMT"/>
        </w:rPr>
        <w:t xml:space="preserve"> to the initiation of use of agent.</w:t>
      </w:r>
    </w:p>
    <w:p w14:paraId="51ECC1A8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02CE1869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Protocols involving Class 1 agents that </w:t>
      </w:r>
      <w:r w:rsidRPr="0077203D">
        <w:rPr>
          <w:rFonts w:ascii="Times New Roman" w:hAnsi="Times New Roman" w:cs="TimesNewRomanPS-BoldMT"/>
          <w:bCs/>
          <w:i/>
          <w:iCs/>
        </w:rPr>
        <w:t xml:space="preserve">do not </w:t>
      </w:r>
      <w:r w:rsidRPr="0077203D">
        <w:rPr>
          <w:rFonts w:ascii="Times New Roman" w:hAnsi="Times New Roman" w:cs="TimesNewRomanPS-BoldMT"/>
        </w:rPr>
        <w:t>involve recombinant DNA, are not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reviewed by the IBC.</w:t>
      </w:r>
    </w:p>
    <w:p w14:paraId="378B2779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707610B1" w14:textId="77777777" w:rsidR="00AD228B" w:rsidRP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i/>
          <w:iCs/>
        </w:rPr>
      </w:pPr>
      <w:r w:rsidRPr="00AD228B">
        <w:rPr>
          <w:rFonts w:ascii="Times New Roman" w:hAnsi="Times New Roman" w:cs="TimesNewRomanPS-BoldMT"/>
          <w:b/>
          <w:i/>
          <w:iCs/>
        </w:rPr>
        <w:t>Toxins</w:t>
      </w:r>
    </w:p>
    <w:p w14:paraId="7C6B4EEF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3BC011BF" w14:textId="77777777" w:rsidR="00AD228B" w:rsidRPr="0077203D" w:rsidRDefault="008D77BD" w:rsidP="00AD228B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  <w:r w:rsidRPr="0077203D">
        <w:rPr>
          <w:rFonts w:ascii="Times New Roman" w:hAnsi="Times New Roman" w:cs="TimesNewRomanPS-BoldMT"/>
        </w:rPr>
        <w:t>The routine use of most toxins will not require IBC review and approval.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However, the IBC shall review any experiments that involve the isolation and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production of toxins from live organisms, and those experiments that involve the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acquisition and use of toxins that are listed in the CDC Standard</w:t>
      </w:r>
      <w:r w:rsidR="00AD228B">
        <w:rPr>
          <w:rFonts w:ascii="Times New Roman" w:hAnsi="Times New Roman" w:cs="TimesNewRomanPS-BoldMT"/>
        </w:rPr>
        <w:t>.</w:t>
      </w:r>
    </w:p>
    <w:p w14:paraId="5275AE04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07A1C34C" w14:textId="77777777" w:rsidR="00AD228B" w:rsidRPr="00AD228B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i/>
          <w:iCs/>
        </w:rPr>
      </w:pPr>
      <w:r w:rsidRPr="00AD228B">
        <w:rPr>
          <w:rFonts w:ascii="Times New Roman" w:hAnsi="Times New Roman" w:cs="TimesNewRomanPS-BoldMT"/>
          <w:b/>
          <w:i/>
          <w:iCs/>
        </w:rPr>
        <w:t>Recombinant DNA</w:t>
      </w:r>
    </w:p>
    <w:p w14:paraId="63CDE70A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6D255FD1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Recombinant DNA experiments involving human, animal, plant or microbial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pathogens, or whole plants or animals require IBC approval before initiation. IBC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approval concurrent with project initiation is required if rDNA studies mentioned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above use less than 2/3 of a eukaryotic viral genome, if whole plant experiments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involve microorganisms that have no recognized potential for dissemination or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environmental impact. Experiments involving rDNA molecules exempt from the</w:t>
      </w:r>
      <w:r w:rsidR="00AD228B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NIH Guidelines must still be reported to the IBC for approval.</w:t>
      </w:r>
    </w:p>
    <w:p w14:paraId="4DD9D86D" w14:textId="77777777" w:rsidR="00AD228B" w:rsidRDefault="00AD228B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i/>
          <w:iCs/>
        </w:rPr>
      </w:pPr>
    </w:p>
    <w:p w14:paraId="39509F0C" w14:textId="77777777" w:rsidR="00AD228B" w:rsidRPr="00AD228B" w:rsidRDefault="00AD228B" w:rsidP="00AD22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>
        <w:rPr>
          <w:rFonts w:ascii="Times New Roman" w:hAnsi="Times New Roman" w:cs="TimesNewRomanPS-BoldMT"/>
          <w:b/>
          <w:bCs/>
        </w:rPr>
        <w:t>Appeal Method</w:t>
      </w:r>
    </w:p>
    <w:p w14:paraId="64F253D8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3F87600F" w14:textId="384CE160" w:rsidR="00F84CBF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>In cases of dispute with respect to procedures or decisions of the IBC, appeals</w:t>
      </w:r>
      <w:r w:rsidR="00F84CB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may be made to the </w:t>
      </w:r>
      <w:r w:rsidR="00F84CBF">
        <w:rPr>
          <w:rFonts w:ascii="Times New Roman" w:hAnsi="Times New Roman" w:cs="TimesNewRomanPS-BoldMT"/>
        </w:rPr>
        <w:t xml:space="preserve">Provost </w:t>
      </w:r>
      <w:r w:rsidRPr="0077203D">
        <w:rPr>
          <w:rFonts w:ascii="Times New Roman" w:hAnsi="Times New Roman" w:cs="TimesNewRomanPS-BoldMT"/>
        </w:rPr>
        <w:t>for cases requiring intervention for problem resolution.</w:t>
      </w:r>
    </w:p>
    <w:p w14:paraId="477CEA14" w14:textId="77777777" w:rsidR="00F84CBF" w:rsidRDefault="00F84CBF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1E2CD7CF" w14:textId="77777777" w:rsidR="00F84CBF" w:rsidRDefault="00F84CBF" w:rsidP="00F84C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</w:rPr>
      </w:pPr>
      <w:r>
        <w:rPr>
          <w:rFonts w:ascii="Times New Roman" w:hAnsi="Times New Roman" w:cs="TimesNewRomanPS-BoldMT"/>
          <w:b/>
        </w:rPr>
        <w:t>Membership</w:t>
      </w:r>
    </w:p>
    <w:p w14:paraId="395FF22C" w14:textId="77777777" w:rsidR="008D77BD" w:rsidRPr="00F84CBF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</w:p>
    <w:p w14:paraId="30DA50E3" w14:textId="76B00D8E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IBC </w:t>
      </w:r>
      <w:r w:rsidR="00F84CBF">
        <w:rPr>
          <w:rFonts w:ascii="Times New Roman" w:hAnsi="Times New Roman" w:cs="TimesNewRomanPS-BoldMT"/>
        </w:rPr>
        <w:t>will be comprised of a minimum of</w:t>
      </w:r>
      <w:r w:rsidRPr="0077203D">
        <w:rPr>
          <w:rFonts w:ascii="Times New Roman" w:hAnsi="Times New Roman" w:cs="TimesNewRomanPS-BoldMT"/>
        </w:rPr>
        <w:t xml:space="preserve"> five members with expertise in general issues of laboratory biosafety, use</w:t>
      </w:r>
      <w:r w:rsidR="00F84CB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of infectious materials, and recombinant DNA technology. Individuals on the IBC</w:t>
      </w:r>
      <w:r w:rsidR="00F84CB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include at least one faculty member with expertise in each of the following areas,</w:t>
      </w:r>
      <w:r w:rsidR="00F84CB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transgenic plants, transgenic animals, viral pathogens</w:t>
      </w:r>
      <w:r w:rsidR="00F84CB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and vectors, microbial pathogens, </w:t>
      </w:r>
      <w:proofErr w:type="spellStart"/>
      <w:r w:rsidRPr="0077203D">
        <w:rPr>
          <w:rFonts w:ascii="Times New Roman" w:hAnsi="Times New Roman" w:cs="TimesNewRomanPS-BoldMT"/>
        </w:rPr>
        <w:t>biotoxins</w:t>
      </w:r>
      <w:proofErr w:type="spellEnd"/>
      <w:r w:rsidRPr="0077203D">
        <w:rPr>
          <w:rFonts w:ascii="Times New Roman" w:hAnsi="Times New Roman" w:cs="TimesNewRomanPS-BoldMT"/>
        </w:rPr>
        <w:t xml:space="preserve">, and biotechnology. In addition, </w:t>
      </w:r>
      <w:r w:rsidR="00F84CBF">
        <w:rPr>
          <w:rFonts w:ascii="Times New Roman" w:hAnsi="Times New Roman" w:cs="TimesNewRomanPS-BoldMT"/>
        </w:rPr>
        <w:t xml:space="preserve">one representative from the </w:t>
      </w:r>
      <w:r w:rsidR="00C20257">
        <w:rPr>
          <w:rFonts w:ascii="Times New Roman" w:hAnsi="Times New Roman" w:cs="TimesNewRomanPS-BoldMT"/>
        </w:rPr>
        <w:t>Office of Academic and Faculty Affairs</w:t>
      </w:r>
      <w:r w:rsidRPr="0077203D">
        <w:rPr>
          <w:rFonts w:ascii="Times New Roman" w:hAnsi="Times New Roman" w:cs="TimesNewRomanPS-BoldMT"/>
        </w:rPr>
        <w:t>, two members from the local community not</w:t>
      </w:r>
      <w:r w:rsidR="00F84CBF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otherwise affiliated with the </w:t>
      </w:r>
      <w:r w:rsidR="00F84CBF">
        <w:rPr>
          <w:rFonts w:ascii="Times New Roman" w:hAnsi="Times New Roman" w:cs="TimesNewRomanPS-BoldMT"/>
        </w:rPr>
        <w:t>Colleges</w:t>
      </w:r>
      <w:r w:rsidRPr="0077203D">
        <w:rPr>
          <w:rFonts w:ascii="Times New Roman" w:hAnsi="Times New Roman" w:cs="TimesNewRomanPS-BoldMT"/>
        </w:rPr>
        <w:t>, and any others who may be invited to serve when their</w:t>
      </w:r>
      <w:r w:rsidR="00921003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expertise is required.</w:t>
      </w:r>
    </w:p>
    <w:p w14:paraId="425DD235" w14:textId="77777777" w:rsidR="00921003" w:rsidRDefault="00921003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</w:p>
    <w:p w14:paraId="24560882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term of membership on the IBC is a </w:t>
      </w:r>
      <w:r w:rsidR="00921003">
        <w:rPr>
          <w:rFonts w:ascii="Times New Roman" w:hAnsi="Times New Roman" w:cs="TimesNewRomanPS-BoldMT"/>
        </w:rPr>
        <w:t>3-year</w:t>
      </w:r>
      <w:r w:rsidRPr="0077203D">
        <w:rPr>
          <w:rFonts w:ascii="Times New Roman" w:hAnsi="Times New Roman" w:cs="TimesNewRomanPS-BoldMT"/>
        </w:rPr>
        <w:t xml:space="preserve"> appointment renewable period</w:t>
      </w:r>
      <w:r w:rsidR="00825920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beginning June 1 through May 30.</w:t>
      </w:r>
    </w:p>
    <w:p w14:paraId="1391211F" w14:textId="77777777" w:rsidR="00921003" w:rsidRDefault="00921003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41B05716" w14:textId="77777777" w:rsidR="00921003" w:rsidRPr="00921003" w:rsidRDefault="00921003" w:rsidP="00921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921003">
        <w:rPr>
          <w:rFonts w:ascii="Times New Roman" w:hAnsi="Times New Roman" w:cs="TimesNewRomanPS-BoldMT"/>
          <w:b/>
          <w:bCs/>
        </w:rPr>
        <w:lastRenderedPageBreak/>
        <w:t>IBC Meetings</w:t>
      </w:r>
    </w:p>
    <w:p w14:paraId="2509C302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028AD94E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IBC shall meet as necessary to conduct its business but </w:t>
      </w:r>
      <w:r w:rsidRPr="0077203D">
        <w:rPr>
          <w:rFonts w:ascii="Times New Roman" w:hAnsi="Times New Roman" w:cs="TimesNewRomanPS-BoldMT"/>
          <w:bCs/>
        </w:rPr>
        <w:t xml:space="preserve">no less </w:t>
      </w:r>
      <w:r w:rsidRPr="0077203D">
        <w:rPr>
          <w:rFonts w:ascii="Times New Roman" w:hAnsi="Times New Roman" w:cs="TimesNewRomanPS-BoldMT"/>
        </w:rPr>
        <w:t xml:space="preserve">than </w:t>
      </w:r>
      <w:r w:rsidR="00921003">
        <w:rPr>
          <w:rFonts w:ascii="Times New Roman" w:hAnsi="Times New Roman" w:cs="TimesNewRomanPS-BoldMT"/>
        </w:rPr>
        <w:t xml:space="preserve">every six months. </w:t>
      </w:r>
      <w:r w:rsidRPr="0077203D">
        <w:rPr>
          <w:rFonts w:ascii="Times New Roman" w:hAnsi="Times New Roman" w:cs="TimesNewRomanPS-BoldMT"/>
        </w:rPr>
        <w:t>A meeting agenda will be sent at a minimum of one week in</w:t>
      </w:r>
      <w:r w:rsidR="00921003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>advance of a scheduled IBC</w:t>
      </w:r>
      <w:r w:rsidR="00921003">
        <w:rPr>
          <w:rFonts w:ascii="Times New Roman" w:hAnsi="Times New Roman" w:cs="TimesNewRomanPS-BoldMT"/>
        </w:rPr>
        <w:t xml:space="preserve"> by the Chair of the committee</w:t>
      </w:r>
      <w:r w:rsidRPr="0077203D">
        <w:rPr>
          <w:rFonts w:ascii="Times New Roman" w:hAnsi="Times New Roman" w:cs="TimesNewRomanPS-BoldMT"/>
        </w:rPr>
        <w:t>. Meeting minutes will be taken each meeting</w:t>
      </w:r>
      <w:r w:rsidR="00921003">
        <w:rPr>
          <w:rFonts w:ascii="Times New Roman" w:hAnsi="Times New Roman" w:cs="TimesNewRomanPS-BoldMT"/>
        </w:rPr>
        <w:t>, sent to current committee members,</w:t>
      </w:r>
      <w:r w:rsidRPr="0077203D">
        <w:rPr>
          <w:rFonts w:ascii="Times New Roman" w:hAnsi="Times New Roman" w:cs="TimesNewRomanPS-BoldMT"/>
        </w:rPr>
        <w:t xml:space="preserve"> and kept</w:t>
      </w:r>
      <w:r w:rsidR="00921003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on file </w:t>
      </w:r>
      <w:r w:rsidR="00921003">
        <w:rPr>
          <w:rFonts w:ascii="Times New Roman" w:hAnsi="Times New Roman" w:cs="TimesNewRomanPS-BoldMT"/>
        </w:rPr>
        <w:t>in the Provost office</w:t>
      </w:r>
      <w:r w:rsidRPr="0077203D">
        <w:rPr>
          <w:rFonts w:ascii="Times New Roman" w:hAnsi="Times New Roman" w:cs="TimesNewRomanPS-BoldMT"/>
        </w:rPr>
        <w:t>.</w:t>
      </w:r>
    </w:p>
    <w:p w14:paraId="23BF33F2" w14:textId="77777777" w:rsidR="00921003" w:rsidRDefault="00921003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79387DA4" w14:textId="77777777" w:rsidR="00921003" w:rsidRPr="00921003" w:rsidRDefault="00921003" w:rsidP="009210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NewRomanPS-BoldMT"/>
          <w:b/>
          <w:bCs/>
        </w:rPr>
      </w:pPr>
      <w:r w:rsidRPr="00921003">
        <w:rPr>
          <w:rFonts w:ascii="Times New Roman" w:hAnsi="Times New Roman" w:cs="TimesNewRomanPS-BoldMT"/>
          <w:b/>
          <w:bCs/>
        </w:rPr>
        <w:t>Annual Report</w:t>
      </w:r>
    </w:p>
    <w:p w14:paraId="0738EC4D" w14:textId="77777777" w:rsidR="008D77BD" w:rsidRPr="0077203D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  <w:bCs/>
        </w:rPr>
      </w:pPr>
    </w:p>
    <w:p w14:paraId="2DCDF2DB" w14:textId="77777777" w:rsidR="00921003" w:rsidRDefault="008D77BD" w:rsidP="008D77BD">
      <w:pPr>
        <w:widowControl w:val="0"/>
        <w:autoSpaceDE w:val="0"/>
        <w:autoSpaceDN w:val="0"/>
        <w:adjustRightInd w:val="0"/>
        <w:rPr>
          <w:rFonts w:ascii="Times New Roman" w:hAnsi="Times New Roman" w:cs="TimesNewRomanPS-BoldMT"/>
        </w:rPr>
      </w:pPr>
      <w:r w:rsidRPr="0077203D">
        <w:rPr>
          <w:rFonts w:ascii="Times New Roman" w:hAnsi="Times New Roman" w:cs="TimesNewRomanPS-BoldMT"/>
        </w:rPr>
        <w:t xml:space="preserve">The </w:t>
      </w:r>
      <w:r w:rsidR="00921003">
        <w:rPr>
          <w:rFonts w:ascii="Times New Roman" w:hAnsi="Times New Roman" w:cs="TimesNewRomanPS-BoldMT"/>
        </w:rPr>
        <w:t xml:space="preserve">Chair of the committee will </w:t>
      </w:r>
      <w:r w:rsidRPr="0077203D">
        <w:rPr>
          <w:rFonts w:ascii="Times New Roman" w:hAnsi="Times New Roman" w:cs="TimesNewRomanPS-BoldMT"/>
        </w:rPr>
        <w:t>submit an annual report of IBC activities and deliberations to the</w:t>
      </w:r>
      <w:r w:rsidR="00921003">
        <w:rPr>
          <w:rFonts w:ascii="Times New Roman" w:hAnsi="Times New Roman" w:cs="TimesNewRomanPS-BoldMT"/>
        </w:rPr>
        <w:t xml:space="preserve"> </w:t>
      </w:r>
      <w:r w:rsidRPr="0077203D">
        <w:rPr>
          <w:rFonts w:ascii="Times New Roman" w:hAnsi="Times New Roman" w:cs="TimesNewRomanPS-BoldMT"/>
        </w:rPr>
        <w:t xml:space="preserve">Provost </w:t>
      </w:r>
      <w:r w:rsidR="00921003">
        <w:rPr>
          <w:rFonts w:ascii="Times New Roman" w:hAnsi="Times New Roman" w:cs="TimesNewRomanPS-BoldMT"/>
        </w:rPr>
        <w:t xml:space="preserve">and Dean of Faculty, Sponsored Research Office (SRO) </w:t>
      </w:r>
      <w:r w:rsidRPr="0077203D">
        <w:rPr>
          <w:rFonts w:ascii="Times New Roman" w:hAnsi="Times New Roman" w:cs="TimesNewRomanPS-BoldMT"/>
        </w:rPr>
        <w:t xml:space="preserve">and the President by </w:t>
      </w:r>
      <w:r w:rsidR="00921003">
        <w:rPr>
          <w:rFonts w:ascii="Times New Roman" w:hAnsi="Times New Roman" w:cs="TimesNewRomanPS-BoldMT"/>
        </w:rPr>
        <w:t>July</w:t>
      </w:r>
      <w:r w:rsidRPr="0077203D">
        <w:rPr>
          <w:rFonts w:ascii="Times New Roman" w:hAnsi="Times New Roman" w:cs="TimesNewRomanPS-BoldMT"/>
        </w:rPr>
        <w:t xml:space="preserve"> 1</w:t>
      </w:r>
      <w:r w:rsidRPr="0077203D">
        <w:rPr>
          <w:rFonts w:ascii="Times New Roman" w:hAnsi="Times New Roman" w:cs="TimesNewRomanPS-BoldMT"/>
          <w:szCs w:val="16"/>
        </w:rPr>
        <w:t xml:space="preserve">st </w:t>
      </w:r>
      <w:r w:rsidRPr="0077203D">
        <w:rPr>
          <w:rFonts w:ascii="Times New Roman" w:hAnsi="Times New Roman" w:cs="TimesNewRomanPS-BoldMT"/>
        </w:rPr>
        <w:t xml:space="preserve">of the following year. </w:t>
      </w:r>
    </w:p>
    <w:p w14:paraId="50EA8DD4" w14:textId="77777777" w:rsidR="0077203D" w:rsidRPr="0077203D" w:rsidRDefault="0077203D" w:rsidP="008D77BD">
      <w:pPr>
        <w:rPr>
          <w:rFonts w:ascii="Times New Roman" w:hAnsi="Times New Roman"/>
        </w:rPr>
      </w:pPr>
    </w:p>
    <w:sectPr w:rsidR="0077203D" w:rsidRPr="0077203D" w:rsidSect="0077203D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41AC" w14:textId="77777777" w:rsidR="003B44C6" w:rsidRDefault="003B44C6">
      <w:r>
        <w:separator/>
      </w:r>
    </w:p>
  </w:endnote>
  <w:endnote w:type="continuationSeparator" w:id="0">
    <w:p w14:paraId="72AE467F" w14:textId="77777777" w:rsidR="003B44C6" w:rsidRDefault="003B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F1D61" w14:textId="77777777" w:rsidR="003B44C6" w:rsidRDefault="003B44C6">
      <w:r>
        <w:separator/>
      </w:r>
    </w:p>
  </w:footnote>
  <w:footnote w:type="continuationSeparator" w:id="0">
    <w:p w14:paraId="027C4562" w14:textId="77777777" w:rsidR="003B44C6" w:rsidRDefault="003B44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BF70C" w14:textId="77777777" w:rsidR="00BA6FF1" w:rsidRDefault="00BA6FF1">
    <w:pPr>
      <w:pStyle w:val="Header"/>
    </w:pPr>
    <w:r w:rsidRPr="00BA6FF1"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0E82692" wp14:editId="751C946A">
          <wp:simplePos x="0" y="0"/>
          <wp:positionH relativeFrom="column">
            <wp:align>center</wp:align>
          </wp:positionH>
          <wp:positionV relativeFrom="paragraph">
            <wp:posOffset>-228600</wp:posOffset>
          </wp:positionV>
          <wp:extent cx="3835400" cy="412750"/>
          <wp:effectExtent l="25400" t="0" r="0" b="0"/>
          <wp:wrapSquare wrapText="bothSides"/>
          <wp:docPr id="3" name="Picture 3" descr="C:\Users\fitzgerald\Desktop\HWS logo-oneline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tzgerald\Desktop\HWS logo-oneline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DFF"/>
    <w:multiLevelType w:val="multilevel"/>
    <w:tmpl w:val="D7F8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2362F"/>
    <w:multiLevelType w:val="hybridMultilevel"/>
    <w:tmpl w:val="2E8C0F06"/>
    <w:lvl w:ilvl="0" w:tplc="2B1A106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52073"/>
    <w:multiLevelType w:val="multilevel"/>
    <w:tmpl w:val="60FE6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47408"/>
    <w:multiLevelType w:val="multilevel"/>
    <w:tmpl w:val="60FE6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C6D9D"/>
    <w:multiLevelType w:val="hybridMultilevel"/>
    <w:tmpl w:val="25DE2B5E"/>
    <w:lvl w:ilvl="0" w:tplc="F384A1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BD"/>
    <w:rsid w:val="00064B2D"/>
    <w:rsid w:val="000D1F5F"/>
    <w:rsid w:val="0014295A"/>
    <w:rsid w:val="00195737"/>
    <w:rsid w:val="001A2975"/>
    <w:rsid w:val="002D10FA"/>
    <w:rsid w:val="003B44C6"/>
    <w:rsid w:val="00452AE0"/>
    <w:rsid w:val="004E3F81"/>
    <w:rsid w:val="00687C0A"/>
    <w:rsid w:val="0077203D"/>
    <w:rsid w:val="00825920"/>
    <w:rsid w:val="008D6645"/>
    <w:rsid w:val="008D77BD"/>
    <w:rsid w:val="00921003"/>
    <w:rsid w:val="0093339D"/>
    <w:rsid w:val="00AD228B"/>
    <w:rsid w:val="00B75068"/>
    <w:rsid w:val="00BA6FF1"/>
    <w:rsid w:val="00C20257"/>
    <w:rsid w:val="00C71758"/>
    <w:rsid w:val="00DB2805"/>
    <w:rsid w:val="00DF36A0"/>
    <w:rsid w:val="00E06275"/>
    <w:rsid w:val="00F021B8"/>
    <w:rsid w:val="00F84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84D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8B"/>
    <w:pPr>
      <w:ind w:left="720"/>
      <w:contextualSpacing/>
    </w:pPr>
  </w:style>
  <w:style w:type="paragraph" w:styleId="Header">
    <w:name w:val="header"/>
    <w:basedOn w:val="Normal"/>
    <w:link w:val="HeaderChar"/>
    <w:rsid w:val="00B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6FF1"/>
  </w:style>
  <w:style w:type="paragraph" w:styleId="Footer">
    <w:name w:val="footer"/>
    <w:basedOn w:val="Normal"/>
    <w:link w:val="FooterChar"/>
    <w:rsid w:val="00B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6FF1"/>
  </w:style>
  <w:style w:type="table" w:styleId="TableGrid">
    <w:name w:val="Table Grid"/>
    <w:basedOn w:val="TableNormal"/>
    <w:rsid w:val="00BA6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3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36A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DF36A0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36A0"/>
  </w:style>
  <w:style w:type="character" w:customStyle="1" w:styleId="CommentTextChar">
    <w:name w:val="Comment Text Char"/>
    <w:basedOn w:val="DefaultParagraphFont"/>
    <w:link w:val="CommentText"/>
    <w:rsid w:val="00DF36A0"/>
  </w:style>
  <w:style w:type="paragraph" w:styleId="CommentSubject">
    <w:name w:val="annotation subject"/>
    <w:basedOn w:val="CommentText"/>
    <w:next w:val="CommentText"/>
    <w:link w:val="CommentSubjectChar"/>
    <w:rsid w:val="00DF36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F36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8B"/>
    <w:pPr>
      <w:ind w:left="720"/>
      <w:contextualSpacing/>
    </w:pPr>
  </w:style>
  <w:style w:type="paragraph" w:styleId="Header">
    <w:name w:val="header"/>
    <w:basedOn w:val="Normal"/>
    <w:link w:val="HeaderChar"/>
    <w:rsid w:val="00BA6F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6FF1"/>
  </w:style>
  <w:style w:type="paragraph" w:styleId="Footer">
    <w:name w:val="footer"/>
    <w:basedOn w:val="Normal"/>
    <w:link w:val="FooterChar"/>
    <w:rsid w:val="00BA6F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6FF1"/>
  </w:style>
  <w:style w:type="table" w:styleId="TableGrid">
    <w:name w:val="Table Grid"/>
    <w:basedOn w:val="TableNormal"/>
    <w:rsid w:val="00BA6F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F36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36A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DF36A0"/>
    <w:rPr>
      <w:sz w:val="18"/>
      <w:szCs w:val="18"/>
    </w:rPr>
  </w:style>
  <w:style w:type="paragraph" w:styleId="CommentText">
    <w:name w:val="annotation text"/>
    <w:basedOn w:val="Normal"/>
    <w:link w:val="CommentTextChar"/>
    <w:rsid w:val="00DF36A0"/>
  </w:style>
  <w:style w:type="character" w:customStyle="1" w:styleId="CommentTextChar">
    <w:name w:val="Comment Text Char"/>
    <w:basedOn w:val="DefaultParagraphFont"/>
    <w:link w:val="CommentText"/>
    <w:rsid w:val="00DF36A0"/>
  </w:style>
  <w:style w:type="paragraph" w:styleId="CommentSubject">
    <w:name w:val="annotation subject"/>
    <w:basedOn w:val="CommentText"/>
    <w:next w:val="CommentText"/>
    <w:link w:val="CommentSubjectChar"/>
    <w:rsid w:val="00DF36A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F36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1197</Words>
  <Characters>6826</Characters>
  <Application>Microsoft Macintosh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&amp; William Smith Colleges</Company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de Denus</dc:creator>
  <cp:keywords/>
  <cp:lastModifiedBy>Megan Metz</cp:lastModifiedBy>
  <cp:revision>2</cp:revision>
  <dcterms:created xsi:type="dcterms:W3CDTF">2017-08-31T21:29:00Z</dcterms:created>
  <dcterms:modified xsi:type="dcterms:W3CDTF">2017-08-31T21:29:00Z</dcterms:modified>
</cp:coreProperties>
</file>