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71897" w14:textId="77777777" w:rsidR="001A67D6" w:rsidRPr="005039A9" w:rsidRDefault="001A67D6" w:rsidP="00747F4E">
      <w:pPr>
        <w:spacing w:after="0" w:line="360" w:lineRule="auto"/>
        <w:jc w:val="center"/>
        <w:rPr>
          <w:rFonts w:ascii="Garamond" w:hAnsi="Garamond"/>
          <w:b/>
          <w:sz w:val="24"/>
        </w:rPr>
      </w:pPr>
      <w:bookmarkStart w:id="0" w:name="_GoBack"/>
      <w:bookmarkEnd w:id="0"/>
      <w:r w:rsidRPr="005039A9">
        <w:rPr>
          <w:rFonts w:ascii="Garamond" w:hAnsi="Garamond"/>
          <w:b/>
          <w:sz w:val="24"/>
        </w:rPr>
        <w:t>2019 HEDS Sexual Assault Campus Climate Survey:</w:t>
      </w:r>
    </w:p>
    <w:p w14:paraId="3DE75BC1" w14:textId="77777777" w:rsidR="00710A9A" w:rsidRDefault="001A67D6" w:rsidP="00747F4E">
      <w:pPr>
        <w:spacing w:after="0" w:line="360" w:lineRule="auto"/>
        <w:jc w:val="center"/>
        <w:rPr>
          <w:rFonts w:ascii="Garamond" w:hAnsi="Garamond"/>
          <w:b/>
          <w:sz w:val="24"/>
        </w:rPr>
      </w:pPr>
      <w:r w:rsidRPr="005039A9">
        <w:rPr>
          <w:rFonts w:ascii="Garamond" w:hAnsi="Garamond"/>
          <w:b/>
          <w:sz w:val="24"/>
        </w:rPr>
        <w:t xml:space="preserve"> </w:t>
      </w:r>
      <w:r w:rsidR="005039A9" w:rsidRPr="005039A9">
        <w:rPr>
          <w:rFonts w:ascii="Garamond" w:hAnsi="Garamond"/>
          <w:b/>
          <w:sz w:val="24"/>
        </w:rPr>
        <w:t>Summary</w:t>
      </w:r>
      <w:r w:rsidRPr="005039A9">
        <w:rPr>
          <w:rFonts w:ascii="Garamond" w:hAnsi="Garamond"/>
          <w:b/>
          <w:sz w:val="24"/>
        </w:rPr>
        <w:t xml:space="preserve"> of Survey Results</w:t>
      </w:r>
      <w:r w:rsidR="005039A9">
        <w:rPr>
          <w:rFonts w:ascii="Garamond" w:hAnsi="Garamond"/>
          <w:b/>
          <w:sz w:val="24"/>
        </w:rPr>
        <w:t xml:space="preserve"> for Hobart and William Smith Colleges</w:t>
      </w:r>
    </w:p>
    <w:p w14:paraId="6FB7E18A" w14:textId="77777777" w:rsidR="00747F4E" w:rsidRPr="005039A9" w:rsidRDefault="00747F4E" w:rsidP="001603A9">
      <w:pPr>
        <w:spacing w:after="0" w:line="240" w:lineRule="auto"/>
        <w:jc w:val="center"/>
        <w:rPr>
          <w:rFonts w:ascii="Garamond" w:hAnsi="Garamond"/>
          <w:b/>
          <w:sz w:val="24"/>
        </w:rPr>
      </w:pPr>
    </w:p>
    <w:p w14:paraId="49A4623C" w14:textId="1A50AC2F" w:rsidR="005039A9" w:rsidRPr="005039A9" w:rsidRDefault="005039A9" w:rsidP="006204CF">
      <w:pPr>
        <w:spacing w:after="0" w:line="360" w:lineRule="auto"/>
        <w:ind w:firstLine="720"/>
        <w:rPr>
          <w:rFonts w:ascii="Garamond" w:hAnsi="Garamond"/>
          <w:sz w:val="24"/>
        </w:rPr>
      </w:pPr>
      <w:r>
        <w:rPr>
          <w:rFonts w:ascii="Garamond" w:hAnsi="Garamond"/>
          <w:sz w:val="24"/>
        </w:rPr>
        <w:t xml:space="preserve">This report </w:t>
      </w:r>
      <w:r w:rsidR="00D90E9D">
        <w:rPr>
          <w:rFonts w:ascii="Garamond" w:hAnsi="Garamond"/>
          <w:sz w:val="24"/>
        </w:rPr>
        <w:t>summarizes</w:t>
      </w:r>
      <w:r w:rsidR="00D90E9D" w:rsidRPr="005039A9">
        <w:rPr>
          <w:rFonts w:ascii="Garamond" w:hAnsi="Garamond"/>
          <w:sz w:val="24"/>
        </w:rPr>
        <w:t xml:space="preserve"> </w:t>
      </w:r>
      <w:r w:rsidRPr="005039A9">
        <w:rPr>
          <w:rFonts w:ascii="Garamond" w:hAnsi="Garamond"/>
          <w:sz w:val="24"/>
        </w:rPr>
        <w:t xml:space="preserve">the HEDS Sexual Assault Campus Climate Survey conducted in </w:t>
      </w:r>
      <w:r w:rsidR="00D90E9D">
        <w:rPr>
          <w:rFonts w:ascii="Garamond" w:hAnsi="Garamond"/>
          <w:sz w:val="24"/>
        </w:rPr>
        <w:t xml:space="preserve">the </w:t>
      </w:r>
      <w:r w:rsidRPr="005039A9">
        <w:rPr>
          <w:rFonts w:ascii="Garamond" w:hAnsi="Garamond"/>
          <w:sz w:val="24"/>
        </w:rPr>
        <w:t>spring</w:t>
      </w:r>
      <w:r w:rsidR="00D90E9D">
        <w:rPr>
          <w:rFonts w:ascii="Garamond" w:hAnsi="Garamond"/>
          <w:sz w:val="24"/>
        </w:rPr>
        <w:t xml:space="preserve"> of </w:t>
      </w:r>
      <w:r w:rsidRPr="005039A9">
        <w:rPr>
          <w:rFonts w:ascii="Garamond" w:hAnsi="Garamond"/>
          <w:sz w:val="24"/>
        </w:rPr>
        <w:t>2019</w:t>
      </w:r>
      <w:r>
        <w:rPr>
          <w:rFonts w:ascii="Garamond" w:hAnsi="Garamond"/>
          <w:sz w:val="24"/>
        </w:rPr>
        <w:t xml:space="preserve"> at Hobart and William Smith Colleges (the Colleges)</w:t>
      </w:r>
      <w:r w:rsidRPr="005039A9">
        <w:rPr>
          <w:rFonts w:ascii="Garamond" w:hAnsi="Garamond"/>
          <w:sz w:val="24"/>
        </w:rPr>
        <w:t>. The report is intended to describe the survey methodology and summarize initial findings. Please note that this report includes</w:t>
      </w:r>
      <w:r w:rsidR="00D90E9D">
        <w:rPr>
          <w:rFonts w:ascii="Garamond" w:hAnsi="Garamond"/>
          <w:sz w:val="24"/>
        </w:rPr>
        <w:t xml:space="preserve"> results</w:t>
      </w:r>
      <w:r w:rsidRPr="005039A9">
        <w:rPr>
          <w:rFonts w:ascii="Garamond" w:hAnsi="Garamond"/>
          <w:sz w:val="24"/>
        </w:rPr>
        <w:t xml:space="preserve"> regarding the prevalence of sexual assault and related misconduct, patterns of victimization, and the contexts within which such incidents occur. Additional information about the College</w:t>
      </w:r>
      <w:r w:rsidR="00D90E9D">
        <w:rPr>
          <w:rFonts w:ascii="Garamond" w:hAnsi="Garamond"/>
          <w:sz w:val="24"/>
        </w:rPr>
        <w:t>’s</w:t>
      </w:r>
      <w:r w:rsidRPr="005039A9">
        <w:rPr>
          <w:rFonts w:ascii="Garamond" w:hAnsi="Garamond"/>
          <w:sz w:val="24"/>
        </w:rPr>
        <w:t xml:space="preserve"> policy and procedures, reporting options, and resources </w:t>
      </w:r>
      <w:r w:rsidR="00D90E9D">
        <w:rPr>
          <w:rFonts w:ascii="Garamond" w:hAnsi="Garamond"/>
          <w:sz w:val="24"/>
        </w:rPr>
        <w:t>are</w:t>
      </w:r>
      <w:r w:rsidR="00D90E9D" w:rsidRPr="005039A9">
        <w:rPr>
          <w:rFonts w:ascii="Garamond" w:hAnsi="Garamond"/>
          <w:sz w:val="24"/>
        </w:rPr>
        <w:t xml:space="preserve"> </w:t>
      </w:r>
      <w:r w:rsidRPr="005039A9">
        <w:rPr>
          <w:rFonts w:ascii="Garamond" w:hAnsi="Garamond"/>
          <w:sz w:val="24"/>
        </w:rPr>
        <w:t xml:space="preserve">available online at the Office of Title IX Programs and Compliance </w:t>
      </w:r>
      <w:r w:rsidR="00DE1396">
        <w:rPr>
          <w:rFonts w:ascii="Garamond" w:hAnsi="Garamond"/>
          <w:sz w:val="24"/>
        </w:rPr>
        <w:t xml:space="preserve">(Title IX Office) </w:t>
      </w:r>
      <w:r w:rsidRPr="005039A9">
        <w:rPr>
          <w:rFonts w:ascii="Garamond" w:hAnsi="Garamond"/>
          <w:sz w:val="24"/>
        </w:rPr>
        <w:t xml:space="preserve">website. This summary is organized into the following sections: </w:t>
      </w:r>
    </w:p>
    <w:p w14:paraId="4259663F" w14:textId="77777777" w:rsidR="005039A9" w:rsidRPr="005039A9" w:rsidRDefault="009110D4" w:rsidP="00747F4E">
      <w:pPr>
        <w:spacing w:after="0" w:line="360" w:lineRule="auto"/>
        <w:ind w:firstLine="720"/>
        <w:rPr>
          <w:rFonts w:ascii="Garamond" w:hAnsi="Garamond"/>
          <w:sz w:val="24"/>
        </w:rPr>
      </w:pPr>
      <w:r>
        <w:rPr>
          <w:rFonts w:ascii="Garamond" w:hAnsi="Garamond"/>
          <w:sz w:val="24"/>
        </w:rPr>
        <w:t xml:space="preserve">I. Background and Administration </w:t>
      </w:r>
    </w:p>
    <w:p w14:paraId="7AB45F8A" w14:textId="77777777" w:rsidR="005039A9" w:rsidRDefault="005039A9" w:rsidP="00747F4E">
      <w:pPr>
        <w:spacing w:after="0" w:line="360" w:lineRule="auto"/>
        <w:ind w:firstLine="720"/>
        <w:rPr>
          <w:rFonts w:ascii="Garamond" w:hAnsi="Garamond"/>
          <w:sz w:val="24"/>
        </w:rPr>
      </w:pPr>
      <w:r w:rsidRPr="005039A9">
        <w:rPr>
          <w:rFonts w:ascii="Garamond" w:hAnsi="Garamond"/>
          <w:sz w:val="24"/>
        </w:rPr>
        <w:t xml:space="preserve">II. </w:t>
      </w:r>
      <w:r w:rsidR="009110D4">
        <w:rPr>
          <w:rFonts w:ascii="Garamond" w:hAnsi="Garamond"/>
          <w:sz w:val="24"/>
        </w:rPr>
        <w:t xml:space="preserve">Summary of </w:t>
      </w:r>
      <w:r w:rsidRPr="005039A9">
        <w:rPr>
          <w:rFonts w:ascii="Garamond" w:hAnsi="Garamond"/>
          <w:sz w:val="24"/>
        </w:rPr>
        <w:t xml:space="preserve">Initial Results </w:t>
      </w:r>
    </w:p>
    <w:p w14:paraId="74C23D78" w14:textId="77777777" w:rsidR="005039A9" w:rsidRDefault="005039A9" w:rsidP="00747F4E">
      <w:pPr>
        <w:spacing w:after="0" w:line="360" w:lineRule="auto"/>
        <w:ind w:firstLine="720"/>
        <w:rPr>
          <w:rFonts w:ascii="Garamond" w:hAnsi="Garamond"/>
          <w:sz w:val="24"/>
        </w:rPr>
      </w:pPr>
      <w:r w:rsidRPr="005039A9">
        <w:rPr>
          <w:rFonts w:ascii="Garamond" w:hAnsi="Garamond"/>
          <w:sz w:val="24"/>
        </w:rPr>
        <w:t xml:space="preserve">III. </w:t>
      </w:r>
      <w:r w:rsidR="00D73B6C">
        <w:rPr>
          <w:rFonts w:ascii="Garamond" w:hAnsi="Garamond"/>
          <w:sz w:val="24"/>
        </w:rPr>
        <w:t>Suggestions</w:t>
      </w:r>
    </w:p>
    <w:p w14:paraId="5ABD2D09" w14:textId="77777777" w:rsidR="00747F4E" w:rsidRDefault="00747F4E" w:rsidP="001603A9">
      <w:pPr>
        <w:spacing w:after="0" w:line="240" w:lineRule="auto"/>
        <w:ind w:firstLine="720"/>
        <w:rPr>
          <w:rFonts w:ascii="Garamond" w:hAnsi="Garamond"/>
          <w:sz w:val="24"/>
        </w:rPr>
      </w:pPr>
    </w:p>
    <w:p w14:paraId="2675A9A2" w14:textId="77777777" w:rsidR="002C4586" w:rsidRPr="005039A9" w:rsidRDefault="002C4586" w:rsidP="00747F4E">
      <w:pPr>
        <w:spacing w:after="0" w:line="360" w:lineRule="auto"/>
        <w:rPr>
          <w:rFonts w:ascii="Garamond" w:hAnsi="Garamond"/>
          <w:b/>
          <w:sz w:val="24"/>
          <w:u w:val="single"/>
        </w:rPr>
      </w:pPr>
      <w:r w:rsidRPr="005039A9">
        <w:rPr>
          <w:rFonts w:ascii="Garamond" w:hAnsi="Garamond"/>
          <w:b/>
          <w:sz w:val="24"/>
          <w:u w:val="single"/>
        </w:rPr>
        <w:t xml:space="preserve">I. </w:t>
      </w:r>
      <w:r w:rsidR="009110D4">
        <w:rPr>
          <w:rFonts w:ascii="Garamond" w:hAnsi="Garamond"/>
          <w:b/>
          <w:sz w:val="24"/>
          <w:u w:val="single"/>
        </w:rPr>
        <w:t>Background and Administration</w:t>
      </w:r>
    </w:p>
    <w:p w14:paraId="4A764809" w14:textId="5F4D3574" w:rsidR="002C4586" w:rsidRDefault="002C4586" w:rsidP="004554E7">
      <w:pPr>
        <w:spacing w:after="0" w:line="360" w:lineRule="auto"/>
        <w:rPr>
          <w:rFonts w:ascii="Garamond" w:hAnsi="Garamond"/>
          <w:sz w:val="24"/>
        </w:rPr>
      </w:pPr>
      <w:r>
        <w:rPr>
          <w:rFonts w:ascii="Garamond" w:hAnsi="Garamond"/>
          <w:sz w:val="24"/>
        </w:rPr>
        <w:tab/>
        <w:t xml:space="preserve">As part of ongoing efforts to prevent and appropriately respond to instances of sexual misconduct, the Colleges collaborated </w:t>
      </w:r>
      <w:r w:rsidRPr="005039A9">
        <w:rPr>
          <w:rFonts w:ascii="Garamond" w:hAnsi="Garamond"/>
          <w:sz w:val="24"/>
        </w:rPr>
        <w:t xml:space="preserve">with the Higher Education Data Sharing Consortium (HEDS) to administer the </w:t>
      </w:r>
      <w:r>
        <w:rPr>
          <w:rFonts w:ascii="Garamond" w:hAnsi="Garamond"/>
          <w:sz w:val="24"/>
        </w:rPr>
        <w:t>2019 population survey. HEDS</w:t>
      </w:r>
      <w:r w:rsidRPr="009548B0">
        <w:rPr>
          <w:rFonts w:ascii="Garamond" w:hAnsi="Garamond"/>
          <w:sz w:val="24"/>
        </w:rPr>
        <w:t xml:space="preserve"> is an organization of colleges and universities committed to sharing data, knowledge, and expertise to advance undergraduate liberal arts education, inclusive excellence, and student success at member institutions.</w:t>
      </w:r>
      <w:r>
        <w:rPr>
          <w:rFonts w:ascii="Garamond" w:hAnsi="Garamond"/>
          <w:sz w:val="24"/>
        </w:rPr>
        <w:t xml:space="preserve"> </w:t>
      </w:r>
      <w:r w:rsidRPr="005039A9">
        <w:rPr>
          <w:rFonts w:ascii="Garamond" w:hAnsi="Garamond"/>
          <w:sz w:val="24"/>
        </w:rPr>
        <w:t xml:space="preserve">New York State Education Law Article 129-B requires </w:t>
      </w:r>
      <w:r>
        <w:rPr>
          <w:rFonts w:ascii="Garamond" w:hAnsi="Garamond"/>
          <w:sz w:val="24"/>
        </w:rPr>
        <w:t>the Colleges</w:t>
      </w:r>
      <w:r w:rsidR="00D90E9D">
        <w:rPr>
          <w:rFonts w:ascii="Garamond" w:hAnsi="Garamond"/>
          <w:sz w:val="24"/>
        </w:rPr>
        <w:t xml:space="preserve"> to</w:t>
      </w:r>
      <w:r w:rsidRPr="005039A9">
        <w:rPr>
          <w:rFonts w:ascii="Garamond" w:hAnsi="Garamond"/>
          <w:sz w:val="24"/>
        </w:rPr>
        <w:t xml:space="preserve"> conduct a survey of campus sexual violence</w:t>
      </w:r>
      <w:r w:rsidR="00D90E9D">
        <w:rPr>
          <w:rFonts w:ascii="Garamond" w:hAnsi="Garamond"/>
          <w:sz w:val="24"/>
        </w:rPr>
        <w:t xml:space="preserve"> </w:t>
      </w:r>
      <w:r w:rsidRPr="005039A9">
        <w:rPr>
          <w:rFonts w:ascii="Garamond" w:hAnsi="Garamond"/>
          <w:sz w:val="24"/>
        </w:rPr>
        <w:t>every two years</w:t>
      </w:r>
      <w:r>
        <w:rPr>
          <w:rFonts w:ascii="Garamond" w:hAnsi="Garamond"/>
          <w:sz w:val="24"/>
        </w:rPr>
        <w:t>. In 2017 and 2015, the Colleges participated in the HEDS survey</w:t>
      </w:r>
      <w:r w:rsidR="00D90E9D">
        <w:rPr>
          <w:rFonts w:ascii="Garamond" w:hAnsi="Garamond"/>
          <w:sz w:val="24"/>
        </w:rPr>
        <w:t xml:space="preserve">, </w:t>
      </w:r>
      <w:r>
        <w:rPr>
          <w:rFonts w:ascii="Garamond" w:hAnsi="Garamond"/>
          <w:sz w:val="24"/>
        </w:rPr>
        <w:t>and the results fro</w:t>
      </w:r>
      <w:r w:rsidR="00030918">
        <w:rPr>
          <w:rFonts w:ascii="Garamond" w:hAnsi="Garamond"/>
          <w:sz w:val="24"/>
        </w:rPr>
        <w:t xml:space="preserve">m these years can be found at </w:t>
      </w:r>
      <w:hyperlink r:id="rId6" w:history="1">
        <w:r w:rsidR="00030918" w:rsidRPr="00DB10A0">
          <w:rPr>
            <w:rStyle w:val="Hyperlink"/>
            <w:rFonts w:ascii="Garamond" w:hAnsi="Garamond"/>
            <w:sz w:val="24"/>
          </w:rPr>
          <w:t>www.hws.edu/studentlife/titleix_survey.aspx</w:t>
        </w:r>
      </w:hyperlink>
      <w:r w:rsidR="00030918">
        <w:rPr>
          <w:rFonts w:ascii="Garamond" w:hAnsi="Garamond"/>
          <w:sz w:val="24"/>
        </w:rPr>
        <w:t>.</w:t>
      </w:r>
      <w:r w:rsidR="002D7EAB">
        <w:rPr>
          <w:rFonts w:ascii="Garamond" w:hAnsi="Garamond"/>
          <w:sz w:val="24"/>
        </w:rPr>
        <w:t xml:space="preserve"> </w:t>
      </w:r>
      <w:r w:rsidRPr="00412EDB">
        <w:rPr>
          <w:rFonts w:ascii="Garamond" w:hAnsi="Garamond"/>
          <w:sz w:val="24"/>
        </w:rPr>
        <w:t>All current HWS students were invited to participate in the</w:t>
      </w:r>
      <w:r>
        <w:rPr>
          <w:rFonts w:ascii="Garamond" w:hAnsi="Garamond"/>
          <w:sz w:val="24"/>
        </w:rPr>
        <w:t xml:space="preserve"> 2019 HEDS Survey</w:t>
      </w:r>
      <w:r w:rsidR="00F941BB">
        <w:rPr>
          <w:rFonts w:ascii="Garamond" w:hAnsi="Garamond"/>
          <w:sz w:val="24"/>
        </w:rPr>
        <w:t xml:space="preserve"> (n= 1862)</w:t>
      </w:r>
      <w:r>
        <w:rPr>
          <w:rFonts w:ascii="Garamond" w:hAnsi="Garamond"/>
          <w:sz w:val="24"/>
        </w:rPr>
        <w:t xml:space="preserve">. The </w:t>
      </w:r>
      <w:r w:rsidRPr="00F62F43">
        <w:rPr>
          <w:rFonts w:ascii="Garamond" w:hAnsi="Garamond"/>
          <w:sz w:val="24"/>
        </w:rPr>
        <w:t>respons</w:t>
      </w:r>
      <w:r>
        <w:rPr>
          <w:rFonts w:ascii="Garamond" w:hAnsi="Garamond"/>
          <w:sz w:val="24"/>
        </w:rPr>
        <w:t xml:space="preserve">e rate at the Colleges was 17% (n= 317). </w:t>
      </w:r>
      <w:r w:rsidR="00F941BB">
        <w:rPr>
          <w:rFonts w:ascii="Garamond" w:hAnsi="Garamond"/>
          <w:sz w:val="24"/>
        </w:rPr>
        <w:t xml:space="preserve">Seventy-one students opened the survey but did not complete it. </w:t>
      </w:r>
      <w:r w:rsidR="00D90E9D" w:rsidRPr="00D90E9D">
        <w:rPr>
          <w:rFonts w:ascii="Garamond" w:hAnsi="Garamond"/>
          <w:sz w:val="24"/>
        </w:rPr>
        <w:t xml:space="preserve">Two hundred and four participants identified as women, one hundred and three identified as men, and ten did not indicate either of those categories. </w:t>
      </w:r>
      <w:r>
        <w:rPr>
          <w:rFonts w:ascii="Garamond" w:hAnsi="Garamond"/>
          <w:sz w:val="24"/>
        </w:rPr>
        <w:t xml:space="preserve"> </w:t>
      </w:r>
      <w:r w:rsidR="00F941BB">
        <w:rPr>
          <w:rFonts w:ascii="Garamond" w:hAnsi="Garamond"/>
          <w:sz w:val="24"/>
        </w:rPr>
        <w:t>As a result,</w:t>
      </w:r>
      <w:r w:rsidR="00030918">
        <w:rPr>
          <w:rFonts w:ascii="Garamond" w:hAnsi="Garamond"/>
          <w:sz w:val="24"/>
        </w:rPr>
        <w:t xml:space="preserve"> </w:t>
      </w:r>
      <w:r>
        <w:rPr>
          <w:rFonts w:ascii="Garamond" w:hAnsi="Garamond"/>
          <w:sz w:val="24"/>
        </w:rPr>
        <w:t xml:space="preserve">the </w:t>
      </w:r>
      <w:r w:rsidR="00F941BB">
        <w:rPr>
          <w:rFonts w:ascii="Garamond" w:hAnsi="Garamond"/>
          <w:sz w:val="24"/>
        </w:rPr>
        <w:t xml:space="preserve">findings </w:t>
      </w:r>
      <w:r>
        <w:rPr>
          <w:rFonts w:ascii="Garamond" w:hAnsi="Garamond"/>
          <w:sz w:val="24"/>
        </w:rPr>
        <w:t xml:space="preserve">are not </w:t>
      </w:r>
      <w:r w:rsidRPr="002262D0">
        <w:rPr>
          <w:rFonts w:ascii="Garamond" w:hAnsi="Garamond"/>
          <w:sz w:val="24"/>
        </w:rPr>
        <w:t>generalizable to the overall population of students at the</w:t>
      </w:r>
      <w:r>
        <w:rPr>
          <w:rFonts w:ascii="Garamond" w:hAnsi="Garamond"/>
          <w:sz w:val="24"/>
        </w:rPr>
        <w:t xml:space="preserve"> Colleges</w:t>
      </w:r>
      <w:r w:rsidR="00F941BB">
        <w:rPr>
          <w:rFonts w:ascii="Garamond" w:hAnsi="Garamond"/>
          <w:sz w:val="24"/>
        </w:rPr>
        <w:t>.</w:t>
      </w:r>
      <w:r w:rsidR="00030918">
        <w:rPr>
          <w:rFonts w:ascii="Garamond" w:hAnsi="Garamond"/>
          <w:sz w:val="24"/>
        </w:rPr>
        <w:t xml:space="preserve"> </w:t>
      </w:r>
      <w:r w:rsidR="00F941BB">
        <w:rPr>
          <w:rFonts w:ascii="Garamond" w:hAnsi="Garamond"/>
          <w:sz w:val="24"/>
        </w:rPr>
        <w:t>However, the data may suggest</w:t>
      </w:r>
      <w:r w:rsidRPr="002262D0">
        <w:rPr>
          <w:rFonts w:ascii="Garamond" w:hAnsi="Garamond"/>
          <w:sz w:val="24"/>
        </w:rPr>
        <w:t xml:space="preserve"> </w:t>
      </w:r>
      <w:r w:rsidR="00F941BB">
        <w:rPr>
          <w:rFonts w:ascii="Garamond" w:hAnsi="Garamond"/>
          <w:sz w:val="24"/>
        </w:rPr>
        <w:t xml:space="preserve">a </w:t>
      </w:r>
      <w:r w:rsidR="009110D4">
        <w:rPr>
          <w:rFonts w:ascii="Garamond" w:hAnsi="Garamond"/>
          <w:sz w:val="24"/>
        </w:rPr>
        <w:t>trend</w:t>
      </w:r>
      <w:r w:rsidR="00F941BB">
        <w:rPr>
          <w:rFonts w:ascii="Garamond" w:hAnsi="Garamond"/>
          <w:sz w:val="24"/>
        </w:rPr>
        <w:t xml:space="preserve"> </w:t>
      </w:r>
      <w:r w:rsidR="002D7EAB">
        <w:rPr>
          <w:rFonts w:ascii="Garamond" w:hAnsi="Garamond"/>
          <w:sz w:val="24"/>
        </w:rPr>
        <w:t>for recommendations in this summary.</w:t>
      </w:r>
      <w:r w:rsidR="009110D4">
        <w:rPr>
          <w:rFonts w:ascii="Garamond" w:hAnsi="Garamond"/>
          <w:sz w:val="24"/>
        </w:rPr>
        <w:t xml:space="preserve"> </w:t>
      </w:r>
    </w:p>
    <w:p w14:paraId="57F17368" w14:textId="7D1FBC68" w:rsidR="00066F1A" w:rsidRDefault="00E3446D" w:rsidP="006427F0">
      <w:pPr>
        <w:spacing w:after="0" w:line="360" w:lineRule="auto"/>
        <w:ind w:firstLine="720"/>
        <w:rPr>
          <w:rFonts w:ascii="Garamond" w:hAnsi="Garamond"/>
          <w:sz w:val="24"/>
        </w:rPr>
      </w:pPr>
      <w:r w:rsidRPr="00412EDB">
        <w:rPr>
          <w:rFonts w:ascii="Garamond" w:hAnsi="Garamond"/>
          <w:sz w:val="24"/>
        </w:rPr>
        <w:t xml:space="preserve">The </w:t>
      </w:r>
      <w:r w:rsidR="002D7EAB">
        <w:rPr>
          <w:rFonts w:ascii="Garamond" w:hAnsi="Garamond"/>
          <w:sz w:val="24"/>
        </w:rPr>
        <w:t xml:space="preserve">Sexual Assault Campus Climate </w:t>
      </w:r>
      <w:r>
        <w:rPr>
          <w:rFonts w:ascii="Garamond" w:hAnsi="Garamond"/>
          <w:sz w:val="24"/>
        </w:rPr>
        <w:t xml:space="preserve">survey was administered </w:t>
      </w:r>
      <w:r w:rsidR="002D7EAB">
        <w:rPr>
          <w:rFonts w:ascii="Garamond" w:hAnsi="Garamond"/>
          <w:sz w:val="24"/>
        </w:rPr>
        <w:t>from February</w:t>
      </w:r>
      <w:r w:rsidRPr="00161BB8">
        <w:rPr>
          <w:rFonts w:ascii="Garamond" w:hAnsi="Garamond"/>
          <w:sz w:val="24"/>
        </w:rPr>
        <w:t xml:space="preserve"> 3 </w:t>
      </w:r>
      <w:r w:rsidR="002D7EAB">
        <w:rPr>
          <w:rFonts w:ascii="Garamond" w:hAnsi="Garamond"/>
          <w:sz w:val="24"/>
        </w:rPr>
        <w:t>and March</w:t>
      </w:r>
      <w:r w:rsidRPr="00161BB8">
        <w:rPr>
          <w:rFonts w:ascii="Garamond" w:hAnsi="Garamond"/>
          <w:sz w:val="24"/>
        </w:rPr>
        <w:t xml:space="preserve"> 17, 2019</w:t>
      </w:r>
      <w:r w:rsidR="002D7EAB">
        <w:rPr>
          <w:rFonts w:ascii="Garamond" w:hAnsi="Garamond"/>
          <w:sz w:val="24"/>
        </w:rPr>
        <w:t>,</w:t>
      </w:r>
      <w:r>
        <w:rPr>
          <w:rFonts w:ascii="Garamond" w:hAnsi="Garamond"/>
          <w:sz w:val="24"/>
        </w:rPr>
        <w:t xml:space="preserve"> through HEDs </w:t>
      </w:r>
      <w:r w:rsidR="009110D4">
        <w:rPr>
          <w:rFonts w:ascii="Garamond" w:hAnsi="Garamond"/>
          <w:sz w:val="24"/>
        </w:rPr>
        <w:t xml:space="preserve">using </w:t>
      </w:r>
      <w:r>
        <w:rPr>
          <w:rFonts w:ascii="Garamond" w:hAnsi="Garamond"/>
          <w:sz w:val="24"/>
        </w:rPr>
        <w:t xml:space="preserve">a </w:t>
      </w:r>
      <w:r w:rsidR="009110D4">
        <w:rPr>
          <w:rFonts w:ascii="Garamond" w:hAnsi="Garamond"/>
          <w:sz w:val="24"/>
        </w:rPr>
        <w:t>third-</w:t>
      </w:r>
      <w:r>
        <w:rPr>
          <w:rFonts w:ascii="Garamond" w:hAnsi="Garamond"/>
          <w:sz w:val="24"/>
        </w:rPr>
        <w:t>party platform</w:t>
      </w:r>
      <w:r w:rsidRPr="00161BB8">
        <w:rPr>
          <w:rFonts w:ascii="Garamond" w:hAnsi="Garamond"/>
          <w:sz w:val="24"/>
        </w:rPr>
        <w:t>.</w:t>
      </w:r>
      <w:r>
        <w:rPr>
          <w:rFonts w:ascii="Garamond" w:hAnsi="Garamond"/>
          <w:sz w:val="24"/>
        </w:rPr>
        <w:t xml:space="preserve"> All curren</w:t>
      </w:r>
      <w:r w:rsidR="009110D4">
        <w:rPr>
          <w:rFonts w:ascii="Garamond" w:hAnsi="Garamond"/>
          <w:sz w:val="24"/>
        </w:rPr>
        <w:t>t students received</w:t>
      </w:r>
      <w:r w:rsidR="00D73B6C">
        <w:rPr>
          <w:rFonts w:ascii="Garamond" w:hAnsi="Garamond"/>
          <w:sz w:val="24"/>
        </w:rPr>
        <w:t>,</w:t>
      </w:r>
      <w:r w:rsidR="009110D4">
        <w:rPr>
          <w:rFonts w:ascii="Garamond" w:hAnsi="Garamond"/>
          <w:sz w:val="24"/>
        </w:rPr>
        <w:t xml:space="preserve"> via the HEDs</w:t>
      </w:r>
      <w:r>
        <w:rPr>
          <w:rFonts w:ascii="Garamond" w:hAnsi="Garamond"/>
          <w:sz w:val="24"/>
        </w:rPr>
        <w:t xml:space="preserve"> Qualtrics system on Feb</w:t>
      </w:r>
      <w:r w:rsidR="00D74F2D">
        <w:rPr>
          <w:rFonts w:ascii="Garamond" w:hAnsi="Garamond"/>
          <w:sz w:val="24"/>
        </w:rPr>
        <w:t>ruary</w:t>
      </w:r>
      <w:r>
        <w:rPr>
          <w:rFonts w:ascii="Garamond" w:hAnsi="Garamond"/>
          <w:sz w:val="24"/>
        </w:rPr>
        <w:t xml:space="preserve"> 3, 2019</w:t>
      </w:r>
      <w:r w:rsidR="00D73B6C">
        <w:rPr>
          <w:rFonts w:ascii="Garamond" w:hAnsi="Garamond"/>
          <w:sz w:val="24"/>
        </w:rPr>
        <w:t>,</w:t>
      </w:r>
      <w:r>
        <w:rPr>
          <w:rFonts w:ascii="Garamond" w:hAnsi="Garamond"/>
          <w:sz w:val="24"/>
        </w:rPr>
        <w:t xml:space="preserve"> an email invitation with an individual link to the survey. </w:t>
      </w:r>
      <w:r w:rsidR="0010620E" w:rsidRPr="0010620E">
        <w:rPr>
          <w:rFonts w:ascii="Garamond" w:hAnsi="Garamond"/>
          <w:sz w:val="24"/>
        </w:rPr>
        <w:t>The Title IX Office sent emails and all subsequent communication using the Qualtrics list. The Title IX Office sent additional reminder emails on February 24, March 5, and March 15. The survey closed on March 17, 2019.</w:t>
      </w:r>
      <w:r w:rsidR="0010620E">
        <w:rPr>
          <w:rFonts w:ascii="Garamond" w:hAnsi="Garamond"/>
          <w:sz w:val="24"/>
        </w:rPr>
        <w:t xml:space="preserve"> </w:t>
      </w:r>
      <w:r w:rsidR="00D73B6C">
        <w:rPr>
          <w:rFonts w:ascii="Garamond" w:hAnsi="Garamond"/>
          <w:sz w:val="24"/>
        </w:rPr>
        <w:t xml:space="preserve">In addition </w:t>
      </w:r>
      <w:r w:rsidR="00D73B6C">
        <w:rPr>
          <w:rFonts w:ascii="Garamond" w:hAnsi="Garamond"/>
          <w:sz w:val="24"/>
        </w:rPr>
        <w:lastRenderedPageBreak/>
        <w:t>to these direct emails to students, t</w:t>
      </w:r>
      <w:r w:rsidR="009110D4">
        <w:rPr>
          <w:rFonts w:ascii="Garamond" w:hAnsi="Garamond"/>
          <w:sz w:val="24"/>
        </w:rPr>
        <w:t>he 2019 HEDs</w:t>
      </w:r>
      <w:r>
        <w:rPr>
          <w:rFonts w:ascii="Garamond" w:hAnsi="Garamond"/>
          <w:sz w:val="24"/>
        </w:rPr>
        <w:t xml:space="preserve"> survey was also advertised via </w:t>
      </w:r>
      <w:r w:rsidR="00153E2E">
        <w:rPr>
          <w:rFonts w:ascii="Garamond" w:hAnsi="Garamond"/>
          <w:sz w:val="24"/>
        </w:rPr>
        <w:t>printed</w:t>
      </w:r>
      <w:r>
        <w:rPr>
          <w:rFonts w:ascii="Garamond" w:hAnsi="Garamond"/>
          <w:sz w:val="24"/>
        </w:rPr>
        <w:t xml:space="preserve"> flyers </w:t>
      </w:r>
      <w:r w:rsidR="00153E2E">
        <w:rPr>
          <w:rFonts w:ascii="Garamond" w:hAnsi="Garamond"/>
          <w:sz w:val="24"/>
        </w:rPr>
        <w:t>distributed around</w:t>
      </w:r>
      <w:r>
        <w:rPr>
          <w:rFonts w:ascii="Garamond" w:hAnsi="Garamond"/>
          <w:sz w:val="24"/>
        </w:rPr>
        <w:t xml:space="preserve"> campus, posts on the </w:t>
      </w:r>
      <w:r w:rsidR="00DE1396">
        <w:rPr>
          <w:rFonts w:ascii="Garamond" w:hAnsi="Garamond"/>
          <w:sz w:val="24"/>
        </w:rPr>
        <w:t>Title IX Office</w:t>
      </w:r>
      <w:r>
        <w:rPr>
          <w:rFonts w:ascii="Garamond" w:hAnsi="Garamond"/>
          <w:sz w:val="24"/>
        </w:rPr>
        <w:t xml:space="preserve"> Instagram account, digital posters on the Scandling Center monitors</w:t>
      </w:r>
      <w:r w:rsidR="009110D4">
        <w:rPr>
          <w:rFonts w:ascii="Garamond" w:hAnsi="Garamond"/>
          <w:sz w:val="24"/>
        </w:rPr>
        <w:t>,</w:t>
      </w:r>
      <w:r>
        <w:rPr>
          <w:rFonts w:ascii="Garamond" w:hAnsi="Garamond"/>
          <w:sz w:val="24"/>
        </w:rPr>
        <w:t xml:space="preserve"> and ‘The Buzz” email sent weekly by th</w:t>
      </w:r>
      <w:r w:rsidR="00D73B6C">
        <w:rPr>
          <w:rFonts w:ascii="Garamond" w:hAnsi="Garamond"/>
          <w:sz w:val="24"/>
        </w:rPr>
        <w:t>e Student Activities Office to campus</w:t>
      </w:r>
      <w:r>
        <w:rPr>
          <w:rFonts w:ascii="Garamond" w:hAnsi="Garamond"/>
          <w:sz w:val="24"/>
        </w:rPr>
        <w:t>.</w:t>
      </w:r>
      <w:r w:rsidR="0010620E">
        <w:rPr>
          <w:rFonts w:ascii="Garamond" w:hAnsi="Garamond"/>
          <w:sz w:val="24"/>
        </w:rPr>
        <w:t xml:space="preserve"> </w:t>
      </w:r>
      <w:r w:rsidR="002C4586">
        <w:rPr>
          <w:rFonts w:ascii="Garamond" w:hAnsi="Garamond"/>
          <w:sz w:val="24"/>
        </w:rPr>
        <w:t>Students who t</w:t>
      </w:r>
      <w:r w:rsidR="00D73B6C">
        <w:rPr>
          <w:rFonts w:ascii="Garamond" w:hAnsi="Garamond"/>
          <w:sz w:val="24"/>
        </w:rPr>
        <w:t xml:space="preserve">ook the survey </w:t>
      </w:r>
      <w:r w:rsidR="0010620E">
        <w:rPr>
          <w:rFonts w:ascii="Garamond" w:hAnsi="Garamond"/>
          <w:sz w:val="24"/>
        </w:rPr>
        <w:t>before</w:t>
      </w:r>
      <w:r w:rsidR="00D73B6C">
        <w:rPr>
          <w:rFonts w:ascii="Garamond" w:hAnsi="Garamond"/>
          <w:sz w:val="24"/>
        </w:rPr>
        <w:t xml:space="preserve"> Feb</w:t>
      </w:r>
      <w:r w:rsidR="00D74F2D">
        <w:rPr>
          <w:rFonts w:ascii="Garamond" w:hAnsi="Garamond"/>
          <w:sz w:val="24"/>
        </w:rPr>
        <w:t xml:space="preserve">ruary </w:t>
      </w:r>
      <w:r w:rsidR="002C4586">
        <w:rPr>
          <w:rFonts w:ascii="Garamond" w:hAnsi="Garamond"/>
          <w:sz w:val="24"/>
        </w:rPr>
        <w:t>25, 2019</w:t>
      </w:r>
      <w:r w:rsidR="0010620E">
        <w:rPr>
          <w:rFonts w:ascii="Garamond" w:hAnsi="Garamond"/>
          <w:sz w:val="24"/>
        </w:rPr>
        <w:t>,</w:t>
      </w:r>
      <w:r w:rsidR="002C4586">
        <w:rPr>
          <w:rFonts w:ascii="Garamond" w:hAnsi="Garamond"/>
          <w:sz w:val="24"/>
        </w:rPr>
        <w:t xml:space="preserve"> </w:t>
      </w:r>
      <w:r w:rsidR="00DB32EF">
        <w:rPr>
          <w:rFonts w:ascii="Garamond" w:hAnsi="Garamond"/>
          <w:sz w:val="24"/>
        </w:rPr>
        <w:t>could</w:t>
      </w:r>
      <w:r w:rsidR="0010620E">
        <w:rPr>
          <w:rFonts w:ascii="Garamond" w:hAnsi="Garamond"/>
          <w:sz w:val="24"/>
        </w:rPr>
        <w:t xml:space="preserve"> </w:t>
      </w:r>
      <w:r w:rsidR="002C4586">
        <w:rPr>
          <w:rFonts w:ascii="Garamond" w:hAnsi="Garamond"/>
          <w:sz w:val="24"/>
        </w:rPr>
        <w:t>opt into a drawing to win one of four prizes: preferential housing lottery number, campus parking pass reimbursement, a pair of Apple AirPods</w:t>
      </w:r>
      <w:r w:rsidR="0010620E">
        <w:rPr>
          <w:rFonts w:ascii="Garamond" w:hAnsi="Garamond"/>
          <w:sz w:val="24"/>
        </w:rPr>
        <w:t xml:space="preserve">, </w:t>
      </w:r>
      <w:r w:rsidR="002C4586">
        <w:rPr>
          <w:rFonts w:ascii="Garamond" w:hAnsi="Garamond"/>
          <w:sz w:val="24"/>
        </w:rPr>
        <w:t>and a c</w:t>
      </w:r>
      <w:r w:rsidR="00830308">
        <w:rPr>
          <w:rFonts w:ascii="Garamond" w:hAnsi="Garamond"/>
          <w:sz w:val="24"/>
        </w:rPr>
        <w:t xml:space="preserve">ollection of HWS College Store items. </w:t>
      </w:r>
      <w:r w:rsidR="002C4586">
        <w:rPr>
          <w:rFonts w:ascii="Garamond" w:hAnsi="Garamond"/>
          <w:sz w:val="24"/>
        </w:rPr>
        <w:t xml:space="preserve">Students opted in by emailing the Deputy Title IX Coordinator with their unique code that appeared at the end of the survey. </w:t>
      </w:r>
      <w:r w:rsidR="0010620E">
        <w:rPr>
          <w:rFonts w:ascii="Garamond" w:hAnsi="Garamond"/>
          <w:sz w:val="24"/>
        </w:rPr>
        <w:t xml:space="preserve">Sixty-six </w:t>
      </w:r>
      <w:r w:rsidR="002C4586">
        <w:rPr>
          <w:rFonts w:ascii="Garamond" w:hAnsi="Garamond"/>
          <w:sz w:val="24"/>
        </w:rPr>
        <w:t>studen</w:t>
      </w:r>
      <w:r w:rsidR="00D73B6C">
        <w:rPr>
          <w:rFonts w:ascii="Garamond" w:hAnsi="Garamond"/>
          <w:sz w:val="24"/>
        </w:rPr>
        <w:t>ts opted into the</w:t>
      </w:r>
      <w:r w:rsidR="002C4586">
        <w:rPr>
          <w:rFonts w:ascii="Garamond" w:hAnsi="Garamond"/>
          <w:sz w:val="24"/>
        </w:rPr>
        <w:t xml:space="preserve"> drawing.</w:t>
      </w:r>
      <w:r w:rsidR="006427F0">
        <w:rPr>
          <w:rFonts w:ascii="Garamond" w:hAnsi="Garamond"/>
          <w:sz w:val="24"/>
        </w:rPr>
        <w:t xml:space="preserve"> </w:t>
      </w:r>
      <w:r>
        <w:rPr>
          <w:rFonts w:ascii="Garamond" w:hAnsi="Garamond"/>
          <w:sz w:val="24"/>
        </w:rPr>
        <w:t>Survey data was stored, maintained, scored</w:t>
      </w:r>
      <w:r w:rsidR="006427F0">
        <w:rPr>
          <w:rFonts w:ascii="Garamond" w:hAnsi="Garamond"/>
          <w:sz w:val="24"/>
        </w:rPr>
        <w:t>,</w:t>
      </w:r>
      <w:r>
        <w:rPr>
          <w:rFonts w:ascii="Garamond" w:hAnsi="Garamond"/>
          <w:sz w:val="24"/>
        </w:rPr>
        <w:t xml:space="preserve"> and analyzed by HEDs. </w:t>
      </w:r>
      <w:r w:rsidR="006427F0" w:rsidRPr="006427F0">
        <w:rPr>
          <w:rFonts w:ascii="Garamond" w:hAnsi="Garamond"/>
          <w:sz w:val="24"/>
        </w:rPr>
        <w:t xml:space="preserve">HEDs compiled the aggregate campus climate survey data, and respondent identification was </w:t>
      </w:r>
      <w:r w:rsidR="00DB32EF" w:rsidRPr="006427F0">
        <w:rPr>
          <w:rFonts w:ascii="Garamond" w:hAnsi="Garamond"/>
          <w:sz w:val="24"/>
        </w:rPr>
        <w:t>removed.</w:t>
      </w:r>
      <w:r>
        <w:rPr>
          <w:rFonts w:ascii="Garamond" w:hAnsi="Garamond"/>
          <w:sz w:val="24"/>
        </w:rPr>
        <w:t xml:space="preserve"> </w:t>
      </w:r>
    </w:p>
    <w:p w14:paraId="64E52E87" w14:textId="77777777" w:rsidR="00747F4E" w:rsidRDefault="00747F4E" w:rsidP="001603A9">
      <w:pPr>
        <w:spacing w:after="0" w:line="240" w:lineRule="auto"/>
        <w:ind w:firstLine="720"/>
        <w:rPr>
          <w:rFonts w:ascii="Garamond" w:hAnsi="Garamond"/>
          <w:b/>
          <w:sz w:val="24"/>
          <w:u w:val="single"/>
        </w:rPr>
      </w:pPr>
    </w:p>
    <w:p w14:paraId="4736D167" w14:textId="77777777" w:rsidR="005039A9" w:rsidRPr="00066F1A" w:rsidRDefault="002C4586" w:rsidP="00747F4E">
      <w:pPr>
        <w:spacing w:after="0" w:line="360" w:lineRule="auto"/>
        <w:rPr>
          <w:rFonts w:ascii="Garamond" w:hAnsi="Garamond"/>
          <w:b/>
          <w:sz w:val="24"/>
          <w:u w:val="single"/>
        </w:rPr>
      </w:pPr>
      <w:r>
        <w:rPr>
          <w:rFonts w:ascii="Garamond" w:hAnsi="Garamond"/>
          <w:b/>
          <w:sz w:val="24"/>
          <w:u w:val="single"/>
        </w:rPr>
        <w:t xml:space="preserve">II. </w:t>
      </w:r>
      <w:r w:rsidR="005039A9" w:rsidRPr="005039A9">
        <w:rPr>
          <w:rFonts w:ascii="Garamond" w:hAnsi="Garamond"/>
          <w:b/>
          <w:sz w:val="24"/>
          <w:u w:val="single"/>
        </w:rPr>
        <w:t>Summary of Initial Results</w:t>
      </w:r>
    </w:p>
    <w:p w14:paraId="1D0C2686" w14:textId="77777777" w:rsidR="002C4586" w:rsidRPr="004278D0" w:rsidRDefault="002C4586" w:rsidP="00747F4E">
      <w:pPr>
        <w:pStyle w:val="ListParagraph"/>
        <w:numPr>
          <w:ilvl w:val="0"/>
          <w:numId w:val="1"/>
        </w:numPr>
        <w:spacing w:after="0" w:line="360" w:lineRule="auto"/>
        <w:rPr>
          <w:rFonts w:ascii="Garamond" w:hAnsi="Garamond"/>
          <w:sz w:val="24"/>
          <w:u w:val="single"/>
        </w:rPr>
      </w:pPr>
      <w:r w:rsidRPr="004278D0">
        <w:rPr>
          <w:rFonts w:ascii="Garamond" w:hAnsi="Garamond"/>
          <w:sz w:val="24"/>
          <w:u w:val="single"/>
        </w:rPr>
        <w:t xml:space="preserve">Perception of </w:t>
      </w:r>
      <w:r w:rsidR="002F40EA" w:rsidRPr="004278D0">
        <w:rPr>
          <w:rFonts w:ascii="Garamond" w:hAnsi="Garamond"/>
          <w:sz w:val="24"/>
          <w:u w:val="single"/>
        </w:rPr>
        <w:t xml:space="preserve">HWS </w:t>
      </w:r>
      <w:r w:rsidRPr="004278D0">
        <w:rPr>
          <w:rFonts w:ascii="Garamond" w:hAnsi="Garamond"/>
          <w:sz w:val="24"/>
          <w:u w:val="single"/>
        </w:rPr>
        <w:t>campus climate</w:t>
      </w:r>
    </w:p>
    <w:p w14:paraId="77F503A7" w14:textId="1D2CF638" w:rsidR="00747F4E" w:rsidRPr="00A816D6" w:rsidRDefault="002F40EA" w:rsidP="00286649">
      <w:pPr>
        <w:spacing w:after="0" w:line="360" w:lineRule="auto"/>
        <w:ind w:firstLine="720"/>
        <w:rPr>
          <w:rFonts w:ascii="Garamond" w:hAnsi="Garamond"/>
          <w:sz w:val="24"/>
          <w:u w:val="single"/>
        </w:rPr>
      </w:pPr>
      <w:r>
        <w:rPr>
          <w:rFonts w:ascii="Garamond" w:hAnsi="Garamond"/>
          <w:sz w:val="24"/>
        </w:rPr>
        <w:t xml:space="preserve">A large majority of respondents feel valued in the classroom and </w:t>
      </w:r>
      <w:r w:rsidR="009A2C72">
        <w:rPr>
          <w:rFonts w:ascii="Garamond" w:hAnsi="Garamond"/>
          <w:sz w:val="24"/>
        </w:rPr>
        <w:t xml:space="preserve">learning </w:t>
      </w:r>
      <w:r>
        <w:rPr>
          <w:rFonts w:ascii="Garamond" w:hAnsi="Garamond"/>
          <w:sz w:val="24"/>
        </w:rPr>
        <w:t xml:space="preserve">environment and agree that faculty, staff, and administrators respect what students think and are genuinely concerned about their </w:t>
      </w:r>
      <w:r w:rsidR="00286649">
        <w:rPr>
          <w:rFonts w:ascii="Garamond" w:hAnsi="Garamond"/>
          <w:sz w:val="24"/>
        </w:rPr>
        <w:t>welfare (80-85%)</w:t>
      </w:r>
      <w:r>
        <w:rPr>
          <w:rFonts w:ascii="Garamond" w:hAnsi="Garamond"/>
          <w:sz w:val="24"/>
        </w:rPr>
        <w:t xml:space="preserve">. </w:t>
      </w:r>
      <w:r w:rsidR="00132908">
        <w:rPr>
          <w:rFonts w:ascii="Garamond" w:hAnsi="Garamond"/>
          <w:sz w:val="24"/>
        </w:rPr>
        <w:t xml:space="preserve">Notably, respondents are less sure that </w:t>
      </w:r>
      <w:r w:rsidR="00132908" w:rsidRPr="00132908">
        <w:rPr>
          <w:rFonts w:ascii="Garamond" w:hAnsi="Garamond"/>
          <w:sz w:val="24"/>
        </w:rPr>
        <w:t>students</w:t>
      </w:r>
      <w:r w:rsidR="00132908">
        <w:rPr>
          <w:rFonts w:ascii="Garamond" w:hAnsi="Garamond"/>
          <w:sz w:val="24"/>
        </w:rPr>
        <w:t xml:space="preserve"> are genuinely concerned about each other’s welfare</w:t>
      </w:r>
      <w:r w:rsidR="00286649">
        <w:rPr>
          <w:rFonts w:ascii="Garamond" w:hAnsi="Garamond"/>
          <w:sz w:val="24"/>
        </w:rPr>
        <w:t xml:space="preserve"> </w:t>
      </w:r>
      <w:r w:rsidR="00132908">
        <w:rPr>
          <w:rFonts w:ascii="Garamond" w:hAnsi="Garamond"/>
          <w:sz w:val="24"/>
        </w:rPr>
        <w:t>or that students contribute to a positive and supportive campus climate</w:t>
      </w:r>
      <w:r w:rsidR="00286649">
        <w:rPr>
          <w:rFonts w:ascii="Garamond" w:hAnsi="Garamond"/>
          <w:sz w:val="24"/>
        </w:rPr>
        <w:t xml:space="preserve"> (63-67%)</w:t>
      </w:r>
      <w:r w:rsidR="00132908">
        <w:rPr>
          <w:rFonts w:ascii="Garamond" w:hAnsi="Garamond"/>
          <w:sz w:val="24"/>
        </w:rPr>
        <w:t>.</w:t>
      </w:r>
      <w:r w:rsidR="00132908" w:rsidRPr="003460E9">
        <w:rPr>
          <w:rFonts w:ascii="Garamond" w:hAnsi="Garamond"/>
          <w:sz w:val="24"/>
        </w:rPr>
        <w:t xml:space="preserve"> Only a slight majority of respondents agreed that there is a </w:t>
      </w:r>
      <w:r w:rsidR="000C1EB4">
        <w:rPr>
          <w:rFonts w:ascii="Garamond" w:hAnsi="Garamond"/>
          <w:sz w:val="24"/>
        </w:rPr>
        <w:t>sound</w:t>
      </w:r>
      <w:r w:rsidR="000C1EB4" w:rsidRPr="003460E9">
        <w:rPr>
          <w:rFonts w:ascii="Garamond" w:hAnsi="Garamond"/>
          <w:sz w:val="24"/>
        </w:rPr>
        <w:t xml:space="preserve"> </w:t>
      </w:r>
      <w:r w:rsidR="00132908" w:rsidRPr="003460E9">
        <w:rPr>
          <w:rFonts w:ascii="Garamond" w:hAnsi="Garamond"/>
          <w:sz w:val="24"/>
        </w:rPr>
        <w:t xml:space="preserve">support system at HWS for students going through difficult times, which seems counter to the high-touch ethos of the </w:t>
      </w:r>
      <w:r w:rsidR="00286649" w:rsidRPr="003460E9">
        <w:rPr>
          <w:rFonts w:ascii="Garamond" w:hAnsi="Garamond"/>
          <w:sz w:val="24"/>
        </w:rPr>
        <w:t>Colleges (54%)</w:t>
      </w:r>
      <w:r w:rsidR="00D73B6C">
        <w:rPr>
          <w:rFonts w:ascii="Garamond" w:hAnsi="Garamond"/>
          <w:sz w:val="24"/>
        </w:rPr>
        <w:t>.</w:t>
      </w:r>
      <w:r w:rsidR="00286649">
        <w:rPr>
          <w:rFonts w:ascii="Garamond" w:hAnsi="Garamond"/>
          <w:sz w:val="24"/>
        </w:rPr>
        <w:t xml:space="preserve"> </w:t>
      </w:r>
      <w:r w:rsidR="00A647A2">
        <w:rPr>
          <w:rFonts w:ascii="Garamond" w:hAnsi="Garamond"/>
          <w:sz w:val="24"/>
        </w:rPr>
        <w:t xml:space="preserve">Most respondents </w:t>
      </w:r>
      <w:r w:rsidR="00FB0A68">
        <w:rPr>
          <w:rFonts w:ascii="Garamond" w:hAnsi="Garamond"/>
          <w:sz w:val="24"/>
        </w:rPr>
        <w:t>said</w:t>
      </w:r>
      <w:r w:rsidR="00A647A2">
        <w:rPr>
          <w:rFonts w:ascii="Garamond" w:hAnsi="Garamond"/>
          <w:sz w:val="24"/>
        </w:rPr>
        <w:t xml:space="preserve"> that they remember all, almost all, or most of the education from HWS about what sexual assault is, how to recognize and report it, who is a confidential resource on campus, and actions one can take to help prevent sexual </w:t>
      </w:r>
      <w:r w:rsidR="00286649">
        <w:rPr>
          <w:rFonts w:ascii="Garamond" w:hAnsi="Garamond"/>
          <w:sz w:val="24"/>
        </w:rPr>
        <w:t>assault (77%)</w:t>
      </w:r>
      <w:r w:rsidR="00A647A2">
        <w:rPr>
          <w:rFonts w:ascii="Garamond" w:hAnsi="Garamond"/>
          <w:sz w:val="24"/>
        </w:rPr>
        <w:t>.</w:t>
      </w:r>
      <w:r w:rsidR="00CE1307">
        <w:rPr>
          <w:rFonts w:ascii="Garamond" w:hAnsi="Garamond"/>
          <w:sz w:val="24"/>
          <w:u w:val="single"/>
        </w:rPr>
        <w:t xml:space="preserve"> </w:t>
      </w:r>
    </w:p>
    <w:p w14:paraId="0D9A1063" w14:textId="77777777" w:rsidR="001B2B70" w:rsidRPr="00336C5D" w:rsidRDefault="001B2B70" w:rsidP="00747F4E">
      <w:pPr>
        <w:pStyle w:val="ListParagraph"/>
        <w:numPr>
          <w:ilvl w:val="0"/>
          <w:numId w:val="1"/>
        </w:numPr>
        <w:spacing w:after="0" w:line="360" w:lineRule="auto"/>
        <w:rPr>
          <w:rFonts w:ascii="Garamond" w:hAnsi="Garamond"/>
          <w:sz w:val="24"/>
          <w:u w:val="single"/>
        </w:rPr>
      </w:pPr>
      <w:r w:rsidRPr="00336C5D">
        <w:rPr>
          <w:rFonts w:ascii="Garamond" w:hAnsi="Garamond"/>
          <w:sz w:val="24"/>
          <w:u w:val="single"/>
        </w:rPr>
        <w:t>Prevalence of Incidents</w:t>
      </w:r>
    </w:p>
    <w:p w14:paraId="66C50F83" w14:textId="60E5B4DC" w:rsidR="009A2C72" w:rsidRDefault="009A2C72" w:rsidP="006204CF">
      <w:pPr>
        <w:spacing w:after="0" w:line="360" w:lineRule="auto"/>
        <w:ind w:firstLine="720"/>
        <w:rPr>
          <w:rFonts w:ascii="Garamond" w:hAnsi="Garamond"/>
          <w:sz w:val="24"/>
        </w:rPr>
      </w:pPr>
      <w:r>
        <w:rPr>
          <w:rFonts w:ascii="Garamond" w:hAnsi="Garamond"/>
          <w:sz w:val="24"/>
        </w:rPr>
        <w:t xml:space="preserve">Since starting at HWS, most respondents have rarely or never experienced unwanted nonverbal behaviors (82%) or unwanted brief physical contact (74%). Though </w:t>
      </w:r>
      <w:r w:rsidR="00E73106">
        <w:rPr>
          <w:rFonts w:ascii="Garamond" w:hAnsi="Garamond"/>
          <w:sz w:val="24"/>
        </w:rPr>
        <w:t>most</w:t>
      </w:r>
      <w:r>
        <w:rPr>
          <w:rFonts w:ascii="Garamond" w:hAnsi="Garamond"/>
          <w:sz w:val="24"/>
        </w:rPr>
        <w:t xml:space="preserve"> respondents have rarely or never experienced unwanted verbal </w:t>
      </w:r>
      <w:r w:rsidR="00FB0A68">
        <w:rPr>
          <w:rFonts w:ascii="Garamond" w:hAnsi="Garamond"/>
          <w:sz w:val="24"/>
        </w:rPr>
        <w:t>behaviors (68%)</w:t>
      </w:r>
      <w:r>
        <w:rPr>
          <w:rFonts w:ascii="Garamond" w:hAnsi="Garamond"/>
          <w:sz w:val="24"/>
        </w:rPr>
        <w:t>, there is a slight increase in those who have compared to the other two types of unwanted behaviors listed.</w:t>
      </w:r>
      <w:r w:rsidR="0062385C">
        <w:rPr>
          <w:rFonts w:ascii="Garamond" w:hAnsi="Garamond"/>
          <w:sz w:val="24"/>
        </w:rPr>
        <w:t xml:space="preserve"> Additionally, </w:t>
      </w:r>
      <w:r>
        <w:rPr>
          <w:rFonts w:ascii="Garamond" w:hAnsi="Garamond"/>
          <w:sz w:val="24"/>
        </w:rPr>
        <w:t xml:space="preserve">15% </w:t>
      </w:r>
      <w:r w:rsidR="00622CB2">
        <w:rPr>
          <w:rFonts w:ascii="Garamond" w:hAnsi="Garamond"/>
          <w:sz w:val="24"/>
        </w:rPr>
        <w:t xml:space="preserve">of respondents </w:t>
      </w:r>
      <w:r>
        <w:rPr>
          <w:rFonts w:ascii="Garamond" w:hAnsi="Garamond"/>
          <w:sz w:val="24"/>
        </w:rPr>
        <w:t xml:space="preserve">reported they had experienced a sexual assault </w:t>
      </w:r>
      <w:r w:rsidR="002E75A3">
        <w:rPr>
          <w:rFonts w:ascii="Garamond" w:hAnsi="Garamond"/>
          <w:sz w:val="24"/>
        </w:rPr>
        <w:t xml:space="preserve">since starting at HWS. </w:t>
      </w:r>
      <w:r w:rsidR="00FB0A68">
        <w:rPr>
          <w:rFonts w:ascii="Garamond" w:hAnsi="Garamond"/>
          <w:sz w:val="24"/>
        </w:rPr>
        <w:t xml:space="preserve">Forty-six </w:t>
      </w:r>
      <w:r w:rsidR="00AC5237">
        <w:rPr>
          <w:rFonts w:ascii="Garamond" w:hAnsi="Garamond"/>
          <w:sz w:val="24"/>
        </w:rPr>
        <w:t>respondents had experienced sexual assault on campus, off campus at an event associated with HWS</w:t>
      </w:r>
      <w:r w:rsidR="0062385C">
        <w:rPr>
          <w:rFonts w:ascii="Garamond" w:hAnsi="Garamond"/>
          <w:sz w:val="24"/>
        </w:rPr>
        <w:t>,</w:t>
      </w:r>
      <w:r w:rsidR="00AC5237">
        <w:rPr>
          <w:rFonts w:ascii="Garamond" w:hAnsi="Garamond"/>
          <w:sz w:val="24"/>
        </w:rPr>
        <w:t xml:space="preserve"> or at a social event near campus. </w:t>
      </w:r>
      <w:r w:rsidR="00E73106">
        <w:rPr>
          <w:rFonts w:ascii="Garamond" w:hAnsi="Garamond"/>
          <w:sz w:val="24"/>
        </w:rPr>
        <w:t>Most of</w:t>
      </w:r>
      <w:r w:rsidR="00AC5237">
        <w:rPr>
          <w:rFonts w:ascii="Garamond" w:hAnsi="Garamond"/>
          <w:sz w:val="24"/>
        </w:rPr>
        <w:t xml:space="preserve"> these reported assaults </w:t>
      </w:r>
      <w:r w:rsidR="0062385C">
        <w:rPr>
          <w:rFonts w:ascii="Garamond" w:hAnsi="Garamond"/>
          <w:sz w:val="24"/>
        </w:rPr>
        <w:t xml:space="preserve">occurred </w:t>
      </w:r>
      <w:r w:rsidR="00AC5237">
        <w:rPr>
          <w:rFonts w:ascii="Garamond" w:hAnsi="Garamond"/>
          <w:sz w:val="24"/>
        </w:rPr>
        <w:t xml:space="preserve">in an </w:t>
      </w:r>
      <w:r w:rsidR="0062385C">
        <w:rPr>
          <w:rFonts w:ascii="Garamond" w:hAnsi="Garamond"/>
          <w:sz w:val="24"/>
        </w:rPr>
        <w:t>on-campus</w:t>
      </w:r>
      <w:r w:rsidR="00AC5237">
        <w:rPr>
          <w:rFonts w:ascii="Garamond" w:hAnsi="Garamond"/>
          <w:sz w:val="24"/>
        </w:rPr>
        <w:t xml:space="preserve"> dormitory or </w:t>
      </w:r>
      <w:r w:rsidR="00FB0A68">
        <w:rPr>
          <w:rFonts w:ascii="Garamond" w:hAnsi="Garamond"/>
          <w:sz w:val="24"/>
        </w:rPr>
        <w:t>housing (63%)</w:t>
      </w:r>
      <w:r w:rsidR="00AC5237">
        <w:rPr>
          <w:rFonts w:ascii="Garamond" w:hAnsi="Garamond"/>
          <w:sz w:val="24"/>
        </w:rPr>
        <w:t xml:space="preserve">. 91% of respondents who had experienced sexual assault experienced touching of a sexual nature, and 49% had experienced vaginal </w:t>
      </w:r>
      <w:r w:rsidR="00B17985">
        <w:rPr>
          <w:rFonts w:ascii="Garamond" w:hAnsi="Garamond"/>
          <w:sz w:val="24"/>
        </w:rPr>
        <w:t>sex</w:t>
      </w:r>
      <w:r w:rsidR="00AC5237">
        <w:rPr>
          <w:rFonts w:ascii="Garamond" w:hAnsi="Garamond"/>
          <w:sz w:val="24"/>
        </w:rPr>
        <w:t xml:space="preserve">. </w:t>
      </w:r>
    </w:p>
    <w:p w14:paraId="30F10E59" w14:textId="3684FF2B" w:rsidR="00606683" w:rsidRDefault="00AC5237" w:rsidP="00747F4E">
      <w:pPr>
        <w:spacing w:after="0" w:line="360" w:lineRule="auto"/>
        <w:ind w:firstLine="720"/>
        <w:rPr>
          <w:rFonts w:ascii="Garamond" w:hAnsi="Garamond"/>
          <w:sz w:val="24"/>
        </w:rPr>
      </w:pPr>
      <w:r>
        <w:rPr>
          <w:rFonts w:ascii="Garamond" w:hAnsi="Garamond"/>
          <w:sz w:val="24"/>
        </w:rPr>
        <w:t xml:space="preserve">Tracking national trends, most incidents of sexual assault </w:t>
      </w:r>
      <w:r w:rsidR="00135076">
        <w:rPr>
          <w:rFonts w:ascii="Garamond" w:hAnsi="Garamond"/>
          <w:sz w:val="24"/>
        </w:rPr>
        <w:t xml:space="preserve">noted in the survey </w:t>
      </w:r>
      <w:r>
        <w:rPr>
          <w:rFonts w:ascii="Garamond" w:hAnsi="Garamond"/>
          <w:sz w:val="24"/>
        </w:rPr>
        <w:t xml:space="preserve">involved alcohol consumption by the person(s) alleged to have committed the assault (72%) as well as the </w:t>
      </w:r>
      <w:r w:rsidR="00135076">
        <w:rPr>
          <w:rFonts w:ascii="Garamond" w:hAnsi="Garamond"/>
          <w:sz w:val="24"/>
        </w:rPr>
        <w:t xml:space="preserve">person </w:t>
      </w:r>
      <w:r>
        <w:rPr>
          <w:rFonts w:ascii="Garamond" w:hAnsi="Garamond"/>
          <w:sz w:val="24"/>
        </w:rPr>
        <w:t xml:space="preserve">who was </w:t>
      </w:r>
      <w:r>
        <w:rPr>
          <w:rFonts w:ascii="Garamond" w:hAnsi="Garamond"/>
          <w:sz w:val="24"/>
        </w:rPr>
        <w:lastRenderedPageBreak/>
        <w:t xml:space="preserve">assaulted (65%). </w:t>
      </w:r>
      <w:r w:rsidR="009206CC">
        <w:rPr>
          <w:rFonts w:ascii="Garamond" w:hAnsi="Garamond"/>
          <w:sz w:val="24"/>
        </w:rPr>
        <w:t>Nearly half (</w:t>
      </w:r>
      <w:r w:rsidR="00606683">
        <w:rPr>
          <w:rFonts w:ascii="Garamond" w:hAnsi="Garamond"/>
          <w:sz w:val="24"/>
        </w:rPr>
        <w:t>48%</w:t>
      </w:r>
      <w:r w:rsidR="009206CC">
        <w:rPr>
          <w:rFonts w:ascii="Garamond" w:hAnsi="Garamond"/>
          <w:sz w:val="24"/>
        </w:rPr>
        <w:t>)</w:t>
      </w:r>
      <w:r w:rsidR="00606683">
        <w:rPr>
          <w:rFonts w:ascii="Garamond" w:hAnsi="Garamond"/>
          <w:sz w:val="24"/>
        </w:rPr>
        <w:t xml:space="preserve"> of respondents who had experienced a sexual assault believe they</w:t>
      </w:r>
      <w:r w:rsidR="00AB53F3">
        <w:rPr>
          <w:rFonts w:ascii="Garamond" w:hAnsi="Garamond"/>
          <w:sz w:val="24"/>
        </w:rPr>
        <w:t xml:space="preserve"> could not </w:t>
      </w:r>
      <w:r w:rsidR="00606683">
        <w:rPr>
          <w:rFonts w:ascii="Garamond" w:hAnsi="Garamond"/>
          <w:sz w:val="24"/>
        </w:rPr>
        <w:t>provide consent at the time of the assault due to incapacitation. 15% were unsure if they were incapacitated</w:t>
      </w:r>
      <w:r w:rsidR="00FE55E8">
        <w:rPr>
          <w:rFonts w:ascii="Garamond" w:hAnsi="Garamond"/>
          <w:sz w:val="24"/>
        </w:rPr>
        <w:t xml:space="preserve"> at that time</w:t>
      </w:r>
      <w:r w:rsidR="00606683">
        <w:rPr>
          <w:rFonts w:ascii="Garamond" w:hAnsi="Garamond"/>
          <w:sz w:val="24"/>
        </w:rPr>
        <w:t xml:space="preserve">. </w:t>
      </w:r>
    </w:p>
    <w:p w14:paraId="623EA0C8" w14:textId="33E8A6FC" w:rsidR="00AB53F3" w:rsidRDefault="003406C8" w:rsidP="00AB53F3">
      <w:pPr>
        <w:spacing w:after="0" w:line="360" w:lineRule="auto"/>
        <w:rPr>
          <w:rFonts w:ascii="Garamond" w:hAnsi="Garamond"/>
          <w:sz w:val="24"/>
        </w:rPr>
      </w:pPr>
      <w:r>
        <w:rPr>
          <w:rFonts w:ascii="Garamond" w:hAnsi="Garamond"/>
          <w:sz w:val="24"/>
        </w:rPr>
        <w:t>8</w:t>
      </w:r>
      <w:r w:rsidR="00AC5237">
        <w:rPr>
          <w:rFonts w:ascii="Garamond" w:hAnsi="Garamond"/>
          <w:sz w:val="24"/>
        </w:rPr>
        <w:t>4% of t</w:t>
      </w:r>
      <w:r w:rsidR="00135076">
        <w:rPr>
          <w:rFonts w:ascii="Garamond" w:hAnsi="Garamond"/>
          <w:sz w:val="24"/>
        </w:rPr>
        <w:t xml:space="preserve">he sexual assaults </w:t>
      </w:r>
      <w:r w:rsidR="00AB53F3">
        <w:rPr>
          <w:rFonts w:ascii="Garamond" w:hAnsi="Garamond"/>
          <w:sz w:val="24"/>
        </w:rPr>
        <w:t>occurred</w:t>
      </w:r>
      <w:r>
        <w:rPr>
          <w:rFonts w:ascii="Garamond" w:hAnsi="Garamond"/>
          <w:sz w:val="24"/>
        </w:rPr>
        <w:t xml:space="preserve"> in </w:t>
      </w:r>
      <w:r w:rsidR="00135076">
        <w:rPr>
          <w:rFonts w:ascii="Garamond" w:hAnsi="Garamond"/>
          <w:sz w:val="24"/>
        </w:rPr>
        <w:t>the respondents’</w:t>
      </w:r>
      <w:r w:rsidR="00606683">
        <w:rPr>
          <w:rFonts w:ascii="Garamond" w:hAnsi="Garamond"/>
          <w:sz w:val="24"/>
        </w:rPr>
        <w:t xml:space="preserve"> first or second year at HWS. 85% were committed by another student(s) at the Colleges, and the relationship between the parties was most often that of </w:t>
      </w:r>
      <w:r w:rsidR="009206CC">
        <w:rPr>
          <w:rFonts w:ascii="Garamond" w:hAnsi="Garamond"/>
          <w:sz w:val="24"/>
        </w:rPr>
        <w:t>nonromantic friend/</w:t>
      </w:r>
      <w:r w:rsidR="00606683">
        <w:rPr>
          <w:rFonts w:ascii="Garamond" w:hAnsi="Garamond"/>
          <w:sz w:val="24"/>
        </w:rPr>
        <w:t xml:space="preserve">acquaintance or casual date/hookup (46%; 33%). </w:t>
      </w:r>
      <w:r w:rsidR="00AB53F3">
        <w:rPr>
          <w:rFonts w:ascii="Garamond" w:hAnsi="Garamond"/>
          <w:sz w:val="24"/>
        </w:rPr>
        <w:t>Most</w:t>
      </w:r>
      <w:r w:rsidR="00606683">
        <w:rPr>
          <w:rFonts w:ascii="Garamond" w:hAnsi="Garamond"/>
          <w:sz w:val="24"/>
        </w:rPr>
        <w:t xml:space="preserve"> respondents disclosed that their assailant was male (89%)</w:t>
      </w:r>
      <w:r w:rsidR="00AB53F3">
        <w:rPr>
          <w:rFonts w:ascii="Garamond" w:hAnsi="Garamond"/>
          <w:sz w:val="24"/>
        </w:rPr>
        <w:t xml:space="preserve">, </w:t>
      </w:r>
      <w:r w:rsidR="00606683">
        <w:rPr>
          <w:rFonts w:ascii="Garamond" w:hAnsi="Garamond"/>
          <w:sz w:val="24"/>
        </w:rPr>
        <w:t xml:space="preserve">with 11% disclosing female assailants. </w:t>
      </w:r>
      <w:r w:rsidR="00AB53F3" w:rsidRPr="00AB53F3">
        <w:rPr>
          <w:rFonts w:ascii="Garamond" w:hAnsi="Garamond"/>
          <w:sz w:val="24"/>
        </w:rPr>
        <w:t xml:space="preserve">The data may align with national data that males commit most known crimes of sexual violence; we should note, however, that the erroneous and pervasive cultural norm that a woman </w:t>
      </w:r>
      <w:r w:rsidR="00DB32EF">
        <w:rPr>
          <w:rFonts w:ascii="Garamond" w:hAnsi="Garamond"/>
          <w:sz w:val="24"/>
        </w:rPr>
        <w:t>cannot</w:t>
      </w:r>
      <w:r w:rsidR="00AB53F3" w:rsidRPr="00AB53F3">
        <w:rPr>
          <w:rFonts w:ascii="Garamond" w:hAnsi="Garamond"/>
          <w:sz w:val="24"/>
        </w:rPr>
        <w:t xml:space="preserve"> rape 'a man' may impact the reporting of or self-identification of these instances among male victims. We also must be attentive to the experiences of LGBTQ+ identified persons and the majority's erasure of abuse and violence in their communities.</w:t>
      </w:r>
    </w:p>
    <w:p w14:paraId="2ECF4A21" w14:textId="68683121" w:rsidR="004278D0" w:rsidRDefault="00EE4DB6" w:rsidP="00AB53F3">
      <w:pPr>
        <w:spacing w:after="0" w:line="360" w:lineRule="auto"/>
        <w:ind w:firstLine="720"/>
        <w:rPr>
          <w:rFonts w:ascii="Garamond" w:hAnsi="Garamond"/>
          <w:sz w:val="24"/>
        </w:rPr>
      </w:pPr>
      <w:r>
        <w:rPr>
          <w:rFonts w:ascii="Garamond" w:hAnsi="Garamond"/>
          <w:sz w:val="24"/>
        </w:rPr>
        <w:t>According to the survey, the most common disclosure</w:t>
      </w:r>
      <w:r w:rsidR="00AB53F3">
        <w:rPr>
          <w:rFonts w:ascii="Garamond" w:hAnsi="Garamond"/>
          <w:sz w:val="24"/>
        </w:rPr>
        <w:t xml:space="preserve"> route</w:t>
      </w:r>
      <w:r>
        <w:rPr>
          <w:rFonts w:ascii="Garamond" w:hAnsi="Garamond"/>
          <w:sz w:val="24"/>
        </w:rPr>
        <w:t xml:space="preserve"> is to a close friend (87%).</w:t>
      </w:r>
      <w:r w:rsidR="00AB53F3">
        <w:rPr>
          <w:rFonts w:ascii="Garamond" w:hAnsi="Garamond"/>
          <w:sz w:val="24"/>
        </w:rPr>
        <w:t xml:space="preserve"> </w:t>
      </w:r>
      <w:r>
        <w:rPr>
          <w:rFonts w:ascii="Garamond" w:hAnsi="Garamond"/>
          <w:sz w:val="24"/>
        </w:rPr>
        <w:t>Disclosures to roommate, romantic partner,</w:t>
      </w:r>
      <w:r w:rsidR="00AB53F3">
        <w:rPr>
          <w:rFonts w:ascii="Garamond" w:hAnsi="Garamond"/>
          <w:sz w:val="24"/>
        </w:rPr>
        <w:t xml:space="preserve"> </w:t>
      </w:r>
      <w:r>
        <w:rPr>
          <w:rFonts w:ascii="Garamond" w:hAnsi="Garamond"/>
          <w:sz w:val="24"/>
        </w:rPr>
        <w:t>campus counselor</w:t>
      </w:r>
      <w:r w:rsidR="00AB53F3">
        <w:rPr>
          <w:rFonts w:ascii="Garamond" w:hAnsi="Garamond"/>
          <w:sz w:val="24"/>
        </w:rPr>
        <w:t xml:space="preserve">, </w:t>
      </w:r>
      <w:r>
        <w:rPr>
          <w:rFonts w:ascii="Garamond" w:hAnsi="Garamond"/>
          <w:sz w:val="24"/>
        </w:rPr>
        <w:t>and parent/guardian follow distantly behind.</w:t>
      </w:r>
      <w:r w:rsidR="00AB53F3">
        <w:rPr>
          <w:rFonts w:ascii="Garamond" w:hAnsi="Garamond"/>
          <w:sz w:val="24"/>
        </w:rPr>
        <w:t xml:space="preserve"> </w:t>
      </w:r>
      <w:r w:rsidR="0035583A">
        <w:rPr>
          <w:rFonts w:ascii="Garamond" w:hAnsi="Garamond"/>
          <w:sz w:val="24"/>
        </w:rPr>
        <w:t xml:space="preserve">86% of those who had experienced sexual assault </w:t>
      </w:r>
      <w:r w:rsidR="0035583A" w:rsidRPr="009206CC">
        <w:rPr>
          <w:rFonts w:ascii="Garamond" w:hAnsi="Garamond"/>
          <w:sz w:val="24"/>
          <w:u w:val="single"/>
        </w:rPr>
        <w:t>did not</w:t>
      </w:r>
      <w:r w:rsidR="0035583A">
        <w:rPr>
          <w:rFonts w:ascii="Garamond" w:hAnsi="Garamond"/>
          <w:sz w:val="24"/>
        </w:rPr>
        <w:t xml:space="preserve"> pursue the HWS proced</w:t>
      </w:r>
      <w:r w:rsidR="009206CC">
        <w:rPr>
          <w:rFonts w:ascii="Garamond" w:hAnsi="Garamond"/>
          <w:sz w:val="24"/>
        </w:rPr>
        <w:t>ure for making a formal report. T</w:t>
      </w:r>
      <w:r w:rsidR="0035583A">
        <w:rPr>
          <w:rFonts w:ascii="Garamond" w:hAnsi="Garamond"/>
          <w:sz w:val="24"/>
        </w:rPr>
        <w:t xml:space="preserve">he small number who did were largely satisfied or neutral regarding the HWS process and the HWS response to </w:t>
      </w:r>
      <w:r w:rsidR="00F2582F">
        <w:rPr>
          <w:rFonts w:ascii="Garamond" w:hAnsi="Garamond"/>
          <w:sz w:val="24"/>
        </w:rPr>
        <w:t xml:space="preserve">the </w:t>
      </w:r>
      <w:r w:rsidR="0035583A">
        <w:rPr>
          <w:rFonts w:ascii="Garamond" w:hAnsi="Garamond"/>
          <w:sz w:val="24"/>
        </w:rPr>
        <w:t>report</w:t>
      </w:r>
      <w:r w:rsidR="00F2582F">
        <w:rPr>
          <w:rFonts w:ascii="Garamond" w:hAnsi="Garamond"/>
          <w:sz w:val="24"/>
        </w:rPr>
        <w:t xml:space="preserve"> </w:t>
      </w:r>
      <w:r w:rsidR="0035583A">
        <w:rPr>
          <w:rFonts w:ascii="Garamond" w:hAnsi="Garamond"/>
          <w:sz w:val="24"/>
        </w:rPr>
        <w:t>(17% dissatisfied).</w:t>
      </w:r>
    </w:p>
    <w:p w14:paraId="615B9BB1" w14:textId="77777777" w:rsidR="001B2B70" w:rsidRPr="004278D0" w:rsidRDefault="001B2B70" w:rsidP="00747F4E">
      <w:pPr>
        <w:pStyle w:val="ListParagraph"/>
        <w:numPr>
          <w:ilvl w:val="0"/>
          <w:numId w:val="1"/>
        </w:numPr>
        <w:spacing w:after="0" w:line="360" w:lineRule="auto"/>
        <w:rPr>
          <w:rFonts w:ascii="Garamond" w:hAnsi="Garamond"/>
          <w:sz w:val="24"/>
          <w:u w:val="single"/>
        </w:rPr>
      </w:pPr>
      <w:r w:rsidRPr="004278D0">
        <w:rPr>
          <w:rFonts w:ascii="Garamond" w:hAnsi="Garamond"/>
          <w:sz w:val="24"/>
          <w:u w:val="single"/>
        </w:rPr>
        <w:t>Bystander Preparedness and Action</w:t>
      </w:r>
    </w:p>
    <w:p w14:paraId="0CC172CA" w14:textId="47CE6747" w:rsidR="00D7116A" w:rsidRDefault="00606683" w:rsidP="00F2582F">
      <w:pPr>
        <w:spacing w:after="0" w:line="360" w:lineRule="auto"/>
        <w:ind w:firstLine="720"/>
        <w:rPr>
          <w:rFonts w:ascii="Garamond" w:hAnsi="Garamond"/>
          <w:sz w:val="24"/>
        </w:rPr>
      </w:pPr>
      <w:r>
        <w:rPr>
          <w:rFonts w:ascii="Garamond" w:hAnsi="Garamond"/>
          <w:sz w:val="24"/>
        </w:rPr>
        <w:t>Of respondents</w:t>
      </w:r>
      <w:r w:rsidR="00F2582F">
        <w:rPr>
          <w:rFonts w:ascii="Garamond" w:hAnsi="Garamond"/>
          <w:sz w:val="24"/>
        </w:rPr>
        <w:t xml:space="preserve"> </w:t>
      </w:r>
      <w:r>
        <w:rPr>
          <w:rFonts w:ascii="Garamond" w:hAnsi="Garamond"/>
          <w:sz w:val="24"/>
        </w:rPr>
        <w:t>who did experience a sexual assault, 33% stated that bystander(s) were present when</w:t>
      </w:r>
      <w:r w:rsidR="00D7116A">
        <w:rPr>
          <w:rFonts w:ascii="Garamond" w:hAnsi="Garamond"/>
          <w:sz w:val="24"/>
        </w:rPr>
        <w:t xml:space="preserve"> they were sexually assaulted. Bystanders only intervened in </w:t>
      </w:r>
      <w:r>
        <w:rPr>
          <w:rFonts w:ascii="Garamond" w:hAnsi="Garamond"/>
          <w:sz w:val="24"/>
        </w:rPr>
        <w:t xml:space="preserve">20% of those instances </w:t>
      </w:r>
      <w:r w:rsidR="00D7116A">
        <w:rPr>
          <w:rFonts w:ascii="Garamond" w:hAnsi="Garamond"/>
          <w:sz w:val="24"/>
        </w:rPr>
        <w:t xml:space="preserve">in which they were present. Of respondents who experienced what they </w:t>
      </w:r>
      <w:r w:rsidR="00D7116A" w:rsidRPr="00D7116A">
        <w:rPr>
          <w:rFonts w:ascii="Garamond" w:hAnsi="Garamond"/>
          <w:i/>
          <w:sz w:val="24"/>
        </w:rPr>
        <w:t>suspect</w:t>
      </w:r>
      <w:r w:rsidR="00D7116A">
        <w:rPr>
          <w:rFonts w:ascii="Garamond" w:hAnsi="Garamond"/>
          <w:sz w:val="24"/>
        </w:rPr>
        <w:t xml:space="preserve"> was a completed or attempted sexual assault or a confirmed attempted sexual assault, 38% noted that bystanders were present during the incident. In </w:t>
      </w:r>
      <w:r w:rsidR="00F2582F">
        <w:rPr>
          <w:rFonts w:ascii="Garamond" w:hAnsi="Garamond"/>
          <w:sz w:val="24"/>
        </w:rPr>
        <w:t>most</w:t>
      </w:r>
      <w:r w:rsidR="00D7116A">
        <w:rPr>
          <w:rFonts w:ascii="Garamond" w:hAnsi="Garamond"/>
          <w:sz w:val="24"/>
        </w:rPr>
        <w:t xml:space="preserve"> of these incidents, the bystander(s) did not intervene (54%). Of the small </w:t>
      </w:r>
      <w:r w:rsidR="00F2582F">
        <w:rPr>
          <w:rFonts w:ascii="Garamond" w:hAnsi="Garamond"/>
          <w:sz w:val="24"/>
        </w:rPr>
        <w:t xml:space="preserve">number </w:t>
      </w:r>
      <w:r w:rsidR="00D7116A">
        <w:rPr>
          <w:rFonts w:ascii="Garamond" w:hAnsi="Garamond"/>
          <w:sz w:val="24"/>
        </w:rPr>
        <w:t>of bystanders who were present and did intervene, they most often stepped in and separated the parties or asked the intended victim if they needed help.</w:t>
      </w:r>
    </w:p>
    <w:p w14:paraId="745D6FAB" w14:textId="17B655DC" w:rsidR="00414FF0" w:rsidRDefault="007F1582" w:rsidP="00747F4E">
      <w:pPr>
        <w:spacing w:after="0" w:line="360" w:lineRule="auto"/>
        <w:ind w:firstLine="720"/>
        <w:rPr>
          <w:rFonts w:ascii="Garamond" w:hAnsi="Garamond"/>
          <w:sz w:val="24"/>
        </w:rPr>
      </w:pPr>
      <w:r>
        <w:rPr>
          <w:rFonts w:ascii="Garamond" w:hAnsi="Garamond"/>
          <w:sz w:val="24"/>
        </w:rPr>
        <w:t>Only 5% of those respondents who did not experience sexual assault themselves</w:t>
      </w:r>
      <w:r w:rsidR="003460E9">
        <w:rPr>
          <w:rFonts w:ascii="Garamond" w:hAnsi="Garamond"/>
          <w:sz w:val="24"/>
        </w:rPr>
        <w:t xml:space="preserve"> answered that they </w:t>
      </w:r>
      <w:r w:rsidR="00F2582F">
        <w:rPr>
          <w:rFonts w:ascii="Garamond" w:hAnsi="Garamond"/>
          <w:sz w:val="24"/>
        </w:rPr>
        <w:t xml:space="preserve">had </w:t>
      </w:r>
      <w:r>
        <w:rPr>
          <w:rFonts w:ascii="Garamond" w:hAnsi="Garamond"/>
          <w:sz w:val="24"/>
        </w:rPr>
        <w:t>observed a situation they believed to be sexual assault</w:t>
      </w:r>
      <w:r w:rsidR="003460E9" w:rsidRPr="003460E9">
        <w:rPr>
          <w:rFonts w:ascii="Garamond" w:hAnsi="Garamond"/>
          <w:sz w:val="24"/>
        </w:rPr>
        <w:t xml:space="preserve"> </w:t>
      </w:r>
      <w:r w:rsidR="003460E9">
        <w:rPr>
          <w:rFonts w:ascii="Garamond" w:hAnsi="Garamond"/>
          <w:sz w:val="24"/>
        </w:rPr>
        <w:t>since starting at HWS</w:t>
      </w:r>
      <w:r>
        <w:rPr>
          <w:rFonts w:ascii="Garamond" w:hAnsi="Garamond"/>
          <w:sz w:val="24"/>
        </w:rPr>
        <w:t>.</w:t>
      </w:r>
      <w:r w:rsidR="00414FF0">
        <w:rPr>
          <w:rFonts w:ascii="Garamond" w:hAnsi="Garamond"/>
          <w:sz w:val="24"/>
        </w:rPr>
        <w:t xml:space="preserve"> Of this small number of respondents, 73% noted that they did intervene when they observed a situation </w:t>
      </w:r>
      <w:r w:rsidR="00DB32EF">
        <w:rPr>
          <w:rFonts w:ascii="Garamond" w:hAnsi="Garamond"/>
          <w:sz w:val="24"/>
        </w:rPr>
        <w:t xml:space="preserve">believed </w:t>
      </w:r>
      <w:r w:rsidR="00414FF0">
        <w:rPr>
          <w:rFonts w:ascii="Garamond" w:hAnsi="Garamond"/>
          <w:sz w:val="24"/>
        </w:rPr>
        <w:t xml:space="preserve">to be sexual assault, with 20% citing </w:t>
      </w:r>
      <w:r w:rsidR="00F2582F">
        <w:rPr>
          <w:rFonts w:ascii="Garamond" w:hAnsi="Garamond"/>
          <w:sz w:val="24"/>
        </w:rPr>
        <w:t xml:space="preserve">that </w:t>
      </w:r>
      <w:r w:rsidR="00414FF0">
        <w:rPr>
          <w:rFonts w:ascii="Garamond" w:hAnsi="Garamond"/>
          <w:sz w:val="24"/>
        </w:rPr>
        <w:t>they considered but did not feel comfortable</w:t>
      </w:r>
      <w:r w:rsidR="00B17985">
        <w:rPr>
          <w:rFonts w:ascii="Garamond" w:hAnsi="Garamond"/>
          <w:sz w:val="24"/>
        </w:rPr>
        <w:t xml:space="preserve"> intervening</w:t>
      </w:r>
      <w:r w:rsidR="00414FF0">
        <w:rPr>
          <w:rFonts w:ascii="Garamond" w:hAnsi="Garamond"/>
          <w:sz w:val="24"/>
        </w:rPr>
        <w:t>. Again, the most prevalent modes of intervention were asking the person who appeared to be at risk if they needed help</w:t>
      </w:r>
      <w:r w:rsidR="00F2582F">
        <w:rPr>
          <w:rFonts w:ascii="Garamond" w:hAnsi="Garamond"/>
          <w:sz w:val="24"/>
        </w:rPr>
        <w:t xml:space="preserve"> </w:t>
      </w:r>
      <w:r w:rsidR="00414FF0">
        <w:rPr>
          <w:rFonts w:ascii="Garamond" w:hAnsi="Garamond"/>
          <w:sz w:val="24"/>
        </w:rPr>
        <w:t xml:space="preserve">and stepping in to separate the people involved. </w:t>
      </w:r>
    </w:p>
    <w:p w14:paraId="3F91ED7B" w14:textId="5FBDD54E" w:rsidR="00047553" w:rsidRDefault="00414FF0" w:rsidP="00747F4E">
      <w:pPr>
        <w:spacing w:after="0" w:line="360" w:lineRule="auto"/>
        <w:ind w:firstLine="720"/>
        <w:rPr>
          <w:rFonts w:ascii="Garamond" w:hAnsi="Garamond"/>
          <w:sz w:val="24"/>
        </w:rPr>
      </w:pPr>
      <w:r>
        <w:rPr>
          <w:rFonts w:ascii="Garamond" w:hAnsi="Garamond"/>
          <w:sz w:val="24"/>
        </w:rPr>
        <w:t xml:space="preserve">Of </w:t>
      </w:r>
      <w:r w:rsidR="00B17985">
        <w:rPr>
          <w:rFonts w:ascii="Garamond" w:hAnsi="Garamond"/>
          <w:sz w:val="24"/>
        </w:rPr>
        <w:t>those</w:t>
      </w:r>
      <w:r>
        <w:rPr>
          <w:rFonts w:ascii="Garamond" w:hAnsi="Garamond"/>
          <w:sz w:val="24"/>
        </w:rPr>
        <w:t xml:space="preserve"> who either did not witness a situation they believe could be sexual assault</w:t>
      </w:r>
      <w:r w:rsidR="00F2582F">
        <w:rPr>
          <w:rFonts w:ascii="Garamond" w:hAnsi="Garamond"/>
          <w:sz w:val="24"/>
        </w:rPr>
        <w:t xml:space="preserve"> </w:t>
      </w:r>
      <w:r>
        <w:rPr>
          <w:rFonts w:ascii="Garamond" w:hAnsi="Garamond"/>
          <w:sz w:val="24"/>
        </w:rPr>
        <w:t xml:space="preserve">or are unsure if they witnessed </w:t>
      </w:r>
      <w:r w:rsidR="00F2582F">
        <w:rPr>
          <w:rFonts w:ascii="Garamond" w:hAnsi="Garamond"/>
          <w:sz w:val="24"/>
        </w:rPr>
        <w:t>it</w:t>
      </w:r>
      <w:r>
        <w:rPr>
          <w:rFonts w:ascii="Garamond" w:hAnsi="Garamond"/>
          <w:sz w:val="24"/>
        </w:rPr>
        <w:t>, 18% have observed</w:t>
      </w:r>
      <w:r w:rsidR="003460E9">
        <w:rPr>
          <w:rFonts w:ascii="Garamond" w:hAnsi="Garamond"/>
          <w:sz w:val="24"/>
        </w:rPr>
        <w:t xml:space="preserve"> situations that </w:t>
      </w:r>
      <w:r w:rsidR="003460E9" w:rsidRPr="003460E9">
        <w:rPr>
          <w:rFonts w:ascii="Garamond" w:hAnsi="Garamond"/>
          <w:i/>
          <w:sz w:val="24"/>
        </w:rPr>
        <w:t>could have led</w:t>
      </w:r>
      <w:r w:rsidR="003460E9">
        <w:rPr>
          <w:rFonts w:ascii="Garamond" w:hAnsi="Garamond"/>
          <w:sz w:val="24"/>
        </w:rPr>
        <w:t xml:space="preserve"> to a sexual assault since starting at HWS. </w:t>
      </w:r>
      <w:r w:rsidR="003460E9">
        <w:rPr>
          <w:rFonts w:ascii="Garamond" w:hAnsi="Garamond"/>
          <w:sz w:val="24"/>
        </w:rPr>
        <w:lastRenderedPageBreak/>
        <w:t>67% of those respondents intervened in that potential sexual assault</w:t>
      </w:r>
      <w:r w:rsidR="00F2582F">
        <w:rPr>
          <w:rFonts w:ascii="Garamond" w:hAnsi="Garamond"/>
          <w:sz w:val="24"/>
        </w:rPr>
        <w:t>,</w:t>
      </w:r>
      <w:r w:rsidR="003460E9">
        <w:rPr>
          <w:rFonts w:ascii="Garamond" w:hAnsi="Garamond"/>
          <w:sz w:val="24"/>
        </w:rPr>
        <w:t xml:space="preserve"> with 10% considering</w:t>
      </w:r>
      <w:r w:rsidR="00F2582F">
        <w:rPr>
          <w:rFonts w:ascii="Garamond" w:hAnsi="Garamond"/>
          <w:sz w:val="24"/>
        </w:rPr>
        <w:t xml:space="preserve"> an</w:t>
      </w:r>
      <w:r w:rsidR="003460E9">
        <w:rPr>
          <w:rFonts w:ascii="Garamond" w:hAnsi="Garamond"/>
          <w:sz w:val="24"/>
        </w:rPr>
        <w:t xml:space="preserve"> </w:t>
      </w:r>
      <w:r w:rsidR="00047553">
        <w:rPr>
          <w:rFonts w:ascii="Garamond" w:hAnsi="Garamond"/>
          <w:sz w:val="24"/>
        </w:rPr>
        <w:t xml:space="preserve">intervention </w:t>
      </w:r>
      <w:r w:rsidR="003460E9">
        <w:rPr>
          <w:rFonts w:ascii="Garamond" w:hAnsi="Garamond"/>
          <w:sz w:val="24"/>
        </w:rPr>
        <w:t>but not feeling safe and 10% considering</w:t>
      </w:r>
      <w:r w:rsidR="00D1259B">
        <w:rPr>
          <w:rFonts w:ascii="Garamond" w:hAnsi="Garamond"/>
          <w:sz w:val="24"/>
        </w:rPr>
        <w:t xml:space="preserve"> an</w:t>
      </w:r>
      <w:r w:rsidR="003460E9">
        <w:rPr>
          <w:rFonts w:ascii="Garamond" w:hAnsi="Garamond"/>
          <w:sz w:val="24"/>
        </w:rPr>
        <w:t xml:space="preserve"> </w:t>
      </w:r>
      <w:r w:rsidR="00047553">
        <w:rPr>
          <w:rFonts w:ascii="Garamond" w:hAnsi="Garamond"/>
          <w:sz w:val="24"/>
        </w:rPr>
        <w:t>intervention</w:t>
      </w:r>
      <w:r w:rsidR="00D1259B">
        <w:rPr>
          <w:rFonts w:ascii="Garamond" w:hAnsi="Garamond"/>
          <w:sz w:val="24"/>
        </w:rPr>
        <w:t xml:space="preserve"> </w:t>
      </w:r>
      <w:r w:rsidR="00047553">
        <w:rPr>
          <w:rFonts w:ascii="Garamond" w:hAnsi="Garamond"/>
          <w:sz w:val="24"/>
        </w:rPr>
        <w:t xml:space="preserve">but not feeling comfortable. Notably, there was a </w:t>
      </w:r>
      <w:r w:rsidR="00D1259B">
        <w:rPr>
          <w:rFonts w:ascii="Garamond" w:hAnsi="Garamond"/>
          <w:sz w:val="24"/>
        </w:rPr>
        <w:t xml:space="preserve">more considerable </w:t>
      </w:r>
      <w:r w:rsidR="00047553">
        <w:rPr>
          <w:rFonts w:ascii="Garamond" w:hAnsi="Garamond"/>
          <w:sz w:val="24"/>
        </w:rPr>
        <w:t>diversity of intervention modes used in these situations, with responses more evenly distributed over the options given:</w:t>
      </w:r>
    </w:p>
    <w:tbl>
      <w:tblPr>
        <w:tblStyle w:val="GridTableLight"/>
        <w:tblpPr w:leftFromText="180" w:rightFromText="180" w:vertAnchor="text" w:horzAnchor="margin" w:tblpXSpec="center" w:tblpY="42"/>
        <w:tblW w:w="8212" w:type="dxa"/>
        <w:tblLook w:val="04A0" w:firstRow="1" w:lastRow="0" w:firstColumn="1" w:lastColumn="0" w:noHBand="0" w:noVBand="1"/>
      </w:tblPr>
      <w:tblGrid>
        <w:gridCol w:w="7955"/>
        <w:gridCol w:w="257"/>
      </w:tblGrid>
      <w:tr w:rsidR="005377B2" w:rsidRPr="00047553" w14:paraId="108C7C72" w14:textId="77777777" w:rsidTr="005377B2">
        <w:trPr>
          <w:trHeight w:val="318"/>
        </w:trPr>
        <w:tc>
          <w:tcPr>
            <w:tcW w:w="8212" w:type="dxa"/>
            <w:gridSpan w:val="2"/>
            <w:tcBorders>
              <w:top w:val="single" w:sz="4" w:space="0" w:color="auto"/>
              <w:left w:val="single" w:sz="4" w:space="0" w:color="auto"/>
              <w:bottom w:val="single" w:sz="4" w:space="0" w:color="auto"/>
              <w:right w:val="single" w:sz="4" w:space="0" w:color="auto"/>
            </w:tcBorders>
            <w:noWrap/>
            <w:hideMark/>
          </w:tcPr>
          <w:p w14:paraId="5C5052FC" w14:textId="77777777" w:rsidR="005377B2" w:rsidRPr="00047553" w:rsidRDefault="005377B2" w:rsidP="00747F4E">
            <w:pPr>
              <w:spacing w:line="360" w:lineRule="auto"/>
              <w:rPr>
                <w:rFonts w:ascii="Garamond" w:eastAsia="Times New Roman" w:hAnsi="Garamond" w:cs="Arial"/>
                <w:color w:val="000000"/>
              </w:rPr>
            </w:pPr>
            <w:r w:rsidRPr="00047553">
              <w:rPr>
                <w:rFonts w:ascii="Garamond" w:eastAsia="Times New Roman" w:hAnsi="Garamond" w:cs="Arial"/>
                <w:color w:val="000000"/>
              </w:rPr>
              <w:t xml:space="preserve">54% stepped in </w:t>
            </w:r>
            <w:r w:rsidRPr="004278D0">
              <w:rPr>
                <w:rFonts w:ascii="Garamond" w:eastAsia="Times New Roman" w:hAnsi="Garamond" w:cs="Arial"/>
                <w:color w:val="000000"/>
              </w:rPr>
              <w:t>and separated the people involve</w:t>
            </w:r>
            <w:r w:rsidRPr="00047553">
              <w:rPr>
                <w:rFonts w:ascii="Garamond" w:eastAsia="Times New Roman" w:hAnsi="Garamond" w:cs="Arial"/>
                <w:color w:val="000000"/>
              </w:rPr>
              <w:t>d</w:t>
            </w:r>
          </w:p>
        </w:tc>
      </w:tr>
      <w:tr w:rsidR="005377B2" w:rsidRPr="00047553" w14:paraId="198D0BE2" w14:textId="77777777" w:rsidTr="005377B2">
        <w:trPr>
          <w:trHeight w:val="318"/>
        </w:trPr>
        <w:tc>
          <w:tcPr>
            <w:tcW w:w="8212" w:type="dxa"/>
            <w:gridSpan w:val="2"/>
            <w:tcBorders>
              <w:top w:val="single" w:sz="4" w:space="0" w:color="auto"/>
              <w:left w:val="single" w:sz="4" w:space="0" w:color="auto"/>
              <w:bottom w:val="single" w:sz="4" w:space="0" w:color="auto"/>
              <w:right w:val="single" w:sz="4" w:space="0" w:color="auto"/>
            </w:tcBorders>
            <w:noWrap/>
            <w:hideMark/>
          </w:tcPr>
          <w:p w14:paraId="788ECE4B" w14:textId="77777777" w:rsidR="005377B2" w:rsidRPr="00047553" w:rsidRDefault="005377B2" w:rsidP="00747F4E">
            <w:pPr>
              <w:spacing w:line="360" w:lineRule="auto"/>
              <w:rPr>
                <w:rFonts w:ascii="Garamond" w:eastAsia="Times New Roman" w:hAnsi="Garamond" w:cs="Arial"/>
                <w:color w:val="000000"/>
              </w:rPr>
            </w:pPr>
            <w:r w:rsidRPr="00047553">
              <w:rPr>
                <w:rFonts w:ascii="Garamond" w:eastAsia="Times New Roman" w:hAnsi="Garamond" w:cs="Arial"/>
                <w:color w:val="000000"/>
              </w:rPr>
              <w:t>50% asked the person who appeared to be at risk if they needed help</w:t>
            </w:r>
          </w:p>
        </w:tc>
      </w:tr>
      <w:tr w:rsidR="005377B2" w:rsidRPr="00047553" w14:paraId="4CFFB1F3" w14:textId="77777777" w:rsidTr="005377B2">
        <w:trPr>
          <w:trHeight w:val="318"/>
        </w:trPr>
        <w:tc>
          <w:tcPr>
            <w:tcW w:w="8212" w:type="dxa"/>
            <w:gridSpan w:val="2"/>
            <w:tcBorders>
              <w:top w:val="single" w:sz="4" w:space="0" w:color="auto"/>
              <w:left w:val="single" w:sz="4" w:space="0" w:color="auto"/>
              <w:bottom w:val="single" w:sz="4" w:space="0" w:color="auto"/>
              <w:right w:val="single" w:sz="4" w:space="0" w:color="auto"/>
            </w:tcBorders>
            <w:noWrap/>
            <w:hideMark/>
          </w:tcPr>
          <w:p w14:paraId="530DA1A9" w14:textId="77777777" w:rsidR="005377B2" w:rsidRPr="00047553" w:rsidRDefault="005377B2" w:rsidP="00747F4E">
            <w:pPr>
              <w:spacing w:line="360" w:lineRule="auto"/>
              <w:rPr>
                <w:rFonts w:ascii="Garamond" w:eastAsia="Times New Roman" w:hAnsi="Garamond" w:cs="Arial"/>
                <w:color w:val="000000"/>
              </w:rPr>
            </w:pPr>
            <w:r w:rsidRPr="00047553">
              <w:rPr>
                <w:rFonts w:ascii="Garamond" w:eastAsia="Times New Roman" w:hAnsi="Garamond" w:cs="Arial"/>
                <w:color w:val="000000"/>
              </w:rPr>
              <w:t>42% asked others to step i</w:t>
            </w:r>
            <w:r w:rsidRPr="004278D0">
              <w:rPr>
                <w:rFonts w:ascii="Garamond" w:eastAsia="Times New Roman" w:hAnsi="Garamond" w:cs="Arial"/>
                <w:color w:val="000000"/>
              </w:rPr>
              <w:t>n with me and diffuse situation</w:t>
            </w:r>
          </w:p>
        </w:tc>
      </w:tr>
      <w:tr w:rsidR="005377B2" w:rsidRPr="00047553" w14:paraId="18581CB9" w14:textId="77777777" w:rsidTr="005377B2">
        <w:trPr>
          <w:trHeight w:val="318"/>
        </w:trPr>
        <w:tc>
          <w:tcPr>
            <w:tcW w:w="8212" w:type="dxa"/>
            <w:gridSpan w:val="2"/>
            <w:tcBorders>
              <w:top w:val="single" w:sz="4" w:space="0" w:color="auto"/>
              <w:left w:val="single" w:sz="4" w:space="0" w:color="auto"/>
              <w:bottom w:val="single" w:sz="4" w:space="0" w:color="auto"/>
              <w:right w:val="single" w:sz="4" w:space="0" w:color="auto"/>
            </w:tcBorders>
            <w:noWrap/>
            <w:hideMark/>
          </w:tcPr>
          <w:p w14:paraId="085AA427" w14:textId="77777777" w:rsidR="005377B2" w:rsidRPr="00047553" w:rsidRDefault="005377B2" w:rsidP="00747F4E">
            <w:pPr>
              <w:spacing w:line="360" w:lineRule="auto"/>
              <w:rPr>
                <w:rFonts w:ascii="Garamond" w:eastAsia="Times New Roman" w:hAnsi="Garamond" w:cs="Arial"/>
                <w:color w:val="000000"/>
              </w:rPr>
            </w:pPr>
            <w:r w:rsidRPr="00047553">
              <w:rPr>
                <w:rFonts w:ascii="Garamond" w:eastAsia="Times New Roman" w:hAnsi="Garamond" w:cs="Arial"/>
                <w:color w:val="000000"/>
              </w:rPr>
              <w:t>35% created a distraction to cause one or more of the people involved to disengage</w:t>
            </w:r>
          </w:p>
        </w:tc>
      </w:tr>
      <w:tr w:rsidR="005377B2" w:rsidRPr="00047553" w14:paraId="0AC314B1" w14:textId="77777777" w:rsidTr="005377B2">
        <w:trPr>
          <w:trHeight w:val="318"/>
        </w:trPr>
        <w:tc>
          <w:tcPr>
            <w:tcW w:w="8212" w:type="dxa"/>
            <w:gridSpan w:val="2"/>
            <w:tcBorders>
              <w:top w:val="single" w:sz="4" w:space="0" w:color="auto"/>
              <w:left w:val="single" w:sz="4" w:space="0" w:color="auto"/>
              <w:bottom w:val="single" w:sz="4" w:space="0" w:color="auto"/>
              <w:right w:val="single" w:sz="4" w:space="0" w:color="auto"/>
            </w:tcBorders>
            <w:noWrap/>
            <w:hideMark/>
          </w:tcPr>
          <w:p w14:paraId="0752B3A9" w14:textId="77777777" w:rsidR="005377B2" w:rsidRPr="00047553" w:rsidRDefault="005377B2" w:rsidP="00747F4E">
            <w:pPr>
              <w:spacing w:line="360" w:lineRule="auto"/>
              <w:rPr>
                <w:rFonts w:ascii="Garamond" w:eastAsia="Times New Roman" w:hAnsi="Garamond" w:cs="Arial"/>
                <w:color w:val="000000"/>
              </w:rPr>
            </w:pPr>
            <w:r w:rsidRPr="00047553">
              <w:rPr>
                <w:rFonts w:ascii="Garamond" w:eastAsia="Times New Roman" w:hAnsi="Garamond" w:cs="Arial"/>
                <w:color w:val="000000"/>
              </w:rPr>
              <w:t>27% confronted the person who appeared to be causing situation</w:t>
            </w:r>
          </w:p>
        </w:tc>
      </w:tr>
      <w:tr w:rsidR="005377B2" w:rsidRPr="00047553" w14:paraId="7DC03B67" w14:textId="77777777" w:rsidTr="005377B2">
        <w:trPr>
          <w:trHeight w:val="318"/>
        </w:trPr>
        <w:tc>
          <w:tcPr>
            <w:tcW w:w="7955" w:type="dxa"/>
            <w:tcBorders>
              <w:top w:val="single" w:sz="4" w:space="0" w:color="auto"/>
              <w:left w:val="single" w:sz="4" w:space="0" w:color="auto"/>
              <w:bottom w:val="single" w:sz="4" w:space="0" w:color="auto"/>
              <w:right w:val="single" w:sz="4" w:space="0" w:color="auto"/>
            </w:tcBorders>
            <w:noWrap/>
            <w:hideMark/>
          </w:tcPr>
          <w:p w14:paraId="78FD89E9" w14:textId="77777777" w:rsidR="005377B2" w:rsidRPr="00047553" w:rsidRDefault="005377B2" w:rsidP="00747F4E">
            <w:pPr>
              <w:spacing w:line="360" w:lineRule="auto"/>
              <w:rPr>
                <w:rFonts w:ascii="Garamond" w:eastAsia="Times New Roman" w:hAnsi="Garamond" w:cs="Arial"/>
                <w:color w:val="000000"/>
              </w:rPr>
            </w:pPr>
            <w:r w:rsidRPr="00047553">
              <w:rPr>
                <w:rFonts w:ascii="Garamond" w:eastAsia="Times New Roman" w:hAnsi="Garamond" w:cs="Arial"/>
                <w:color w:val="000000"/>
              </w:rPr>
              <w:t>8% other</w:t>
            </w:r>
          </w:p>
        </w:tc>
        <w:tc>
          <w:tcPr>
            <w:tcW w:w="257" w:type="dxa"/>
            <w:tcBorders>
              <w:top w:val="single" w:sz="4" w:space="0" w:color="auto"/>
              <w:left w:val="single" w:sz="4" w:space="0" w:color="auto"/>
              <w:bottom w:val="single" w:sz="4" w:space="0" w:color="auto"/>
              <w:right w:val="single" w:sz="4" w:space="0" w:color="auto"/>
            </w:tcBorders>
            <w:noWrap/>
            <w:hideMark/>
          </w:tcPr>
          <w:p w14:paraId="31A0B804" w14:textId="77777777" w:rsidR="005377B2" w:rsidRPr="00047553" w:rsidRDefault="005377B2" w:rsidP="00747F4E">
            <w:pPr>
              <w:spacing w:line="360" w:lineRule="auto"/>
              <w:rPr>
                <w:rFonts w:ascii="Garamond" w:eastAsia="Times New Roman" w:hAnsi="Garamond" w:cs="Arial"/>
                <w:color w:val="000000"/>
              </w:rPr>
            </w:pPr>
          </w:p>
        </w:tc>
      </w:tr>
      <w:tr w:rsidR="005377B2" w:rsidRPr="00047553" w14:paraId="5B0B5917" w14:textId="77777777" w:rsidTr="005377B2">
        <w:trPr>
          <w:trHeight w:val="318"/>
        </w:trPr>
        <w:tc>
          <w:tcPr>
            <w:tcW w:w="8212" w:type="dxa"/>
            <w:gridSpan w:val="2"/>
            <w:tcBorders>
              <w:top w:val="single" w:sz="4" w:space="0" w:color="auto"/>
              <w:left w:val="single" w:sz="4" w:space="0" w:color="auto"/>
              <w:bottom w:val="single" w:sz="4" w:space="0" w:color="auto"/>
              <w:right w:val="single" w:sz="4" w:space="0" w:color="auto"/>
            </w:tcBorders>
            <w:noWrap/>
            <w:hideMark/>
          </w:tcPr>
          <w:p w14:paraId="52B3E956" w14:textId="77777777" w:rsidR="005377B2" w:rsidRPr="00047553" w:rsidRDefault="005377B2" w:rsidP="00747F4E">
            <w:pPr>
              <w:spacing w:line="360" w:lineRule="auto"/>
              <w:rPr>
                <w:rFonts w:ascii="Garamond" w:eastAsia="Times New Roman" w:hAnsi="Garamond" w:cs="Arial"/>
                <w:color w:val="000000"/>
              </w:rPr>
            </w:pPr>
            <w:r w:rsidRPr="00047553">
              <w:rPr>
                <w:rFonts w:ascii="Garamond" w:eastAsia="Times New Roman" w:hAnsi="Garamond" w:cs="Arial"/>
                <w:color w:val="000000"/>
              </w:rPr>
              <w:t>4% told someone in a position of authority about situ</w:t>
            </w:r>
            <w:r w:rsidRPr="004278D0">
              <w:rPr>
                <w:rFonts w:ascii="Garamond" w:eastAsia="Times New Roman" w:hAnsi="Garamond" w:cs="Arial"/>
                <w:color w:val="000000"/>
              </w:rPr>
              <w:t>a</w:t>
            </w:r>
            <w:r w:rsidRPr="00047553">
              <w:rPr>
                <w:rFonts w:ascii="Garamond" w:eastAsia="Times New Roman" w:hAnsi="Garamond" w:cs="Arial"/>
                <w:color w:val="000000"/>
              </w:rPr>
              <w:t>tion</w:t>
            </w:r>
          </w:p>
        </w:tc>
      </w:tr>
    </w:tbl>
    <w:p w14:paraId="5D65A0D2" w14:textId="77777777" w:rsidR="00B17985" w:rsidRDefault="00B17985" w:rsidP="00747F4E">
      <w:pPr>
        <w:spacing w:after="0" w:line="360" w:lineRule="auto"/>
        <w:ind w:firstLine="720"/>
        <w:rPr>
          <w:rFonts w:ascii="Garamond" w:hAnsi="Garamond"/>
          <w:sz w:val="24"/>
        </w:rPr>
      </w:pPr>
    </w:p>
    <w:p w14:paraId="1ED76D7C" w14:textId="77777777" w:rsidR="00047553" w:rsidRDefault="00047553" w:rsidP="00747F4E">
      <w:pPr>
        <w:spacing w:after="0" w:line="360" w:lineRule="auto"/>
        <w:rPr>
          <w:rFonts w:ascii="Garamond" w:hAnsi="Garamond"/>
          <w:sz w:val="24"/>
        </w:rPr>
      </w:pPr>
      <w:r>
        <w:rPr>
          <w:rFonts w:ascii="Garamond" w:hAnsi="Garamond"/>
          <w:sz w:val="24"/>
        </w:rPr>
        <w:t xml:space="preserve"> </w:t>
      </w:r>
    </w:p>
    <w:p w14:paraId="498FF5AE" w14:textId="77777777" w:rsidR="001B2B70" w:rsidRDefault="001B2B70" w:rsidP="00747F4E">
      <w:pPr>
        <w:spacing w:after="0" w:line="360" w:lineRule="auto"/>
        <w:rPr>
          <w:rFonts w:ascii="Garamond" w:hAnsi="Garamond"/>
          <w:sz w:val="24"/>
        </w:rPr>
      </w:pPr>
    </w:p>
    <w:p w14:paraId="32D0E090" w14:textId="77777777" w:rsidR="004278D0" w:rsidRPr="00076E40" w:rsidRDefault="001B2B70" w:rsidP="00747F4E">
      <w:pPr>
        <w:spacing w:after="0" w:line="360" w:lineRule="auto"/>
        <w:rPr>
          <w:rFonts w:ascii="Garamond" w:hAnsi="Garamond"/>
          <w:sz w:val="24"/>
        </w:rPr>
      </w:pPr>
      <w:r>
        <w:rPr>
          <w:rFonts w:ascii="Garamond" w:hAnsi="Garamond"/>
          <w:sz w:val="24"/>
        </w:rPr>
        <w:tab/>
      </w:r>
      <w:r>
        <w:rPr>
          <w:rFonts w:ascii="Garamond" w:hAnsi="Garamond"/>
          <w:sz w:val="24"/>
        </w:rPr>
        <w:tab/>
      </w:r>
      <w:r>
        <w:rPr>
          <w:rFonts w:ascii="Garamond" w:hAnsi="Garamond"/>
          <w:sz w:val="24"/>
        </w:rPr>
        <w:tab/>
      </w:r>
    </w:p>
    <w:p w14:paraId="1243D1AD" w14:textId="77777777" w:rsidR="00336C5D" w:rsidRDefault="00336C5D" w:rsidP="00747F4E">
      <w:pPr>
        <w:spacing w:after="0" w:line="360" w:lineRule="auto"/>
        <w:rPr>
          <w:rFonts w:ascii="Garamond" w:hAnsi="Garamond"/>
          <w:b/>
          <w:sz w:val="24"/>
          <w:u w:val="single"/>
        </w:rPr>
      </w:pPr>
    </w:p>
    <w:p w14:paraId="4ECF99C3" w14:textId="77777777" w:rsidR="005377B2" w:rsidRDefault="005377B2" w:rsidP="00747F4E">
      <w:pPr>
        <w:spacing w:after="0" w:line="360" w:lineRule="auto"/>
        <w:rPr>
          <w:rFonts w:ascii="Garamond" w:hAnsi="Garamond"/>
          <w:b/>
          <w:sz w:val="24"/>
          <w:u w:val="single"/>
        </w:rPr>
      </w:pPr>
    </w:p>
    <w:p w14:paraId="0D4AA55C" w14:textId="77777777" w:rsidR="00747F4E" w:rsidRDefault="00747F4E" w:rsidP="00747F4E">
      <w:pPr>
        <w:spacing w:after="0" w:line="360" w:lineRule="auto"/>
        <w:rPr>
          <w:rFonts w:ascii="Garamond" w:hAnsi="Garamond"/>
          <w:b/>
          <w:sz w:val="24"/>
          <w:u w:val="single"/>
        </w:rPr>
      </w:pPr>
    </w:p>
    <w:p w14:paraId="03B673E5" w14:textId="77777777" w:rsidR="00747F4E" w:rsidRDefault="00747F4E" w:rsidP="001603A9">
      <w:pPr>
        <w:spacing w:after="0" w:line="240" w:lineRule="auto"/>
        <w:rPr>
          <w:rFonts w:ascii="Garamond" w:hAnsi="Garamond"/>
          <w:b/>
          <w:sz w:val="24"/>
          <w:u w:val="single"/>
        </w:rPr>
      </w:pPr>
    </w:p>
    <w:p w14:paraId="0988D7E2" w14:textId="10AD05C7" w:rsidR="00CF3D6F" w:rsidRDefault="005039A9" w:rsidP="00747F4E">
      <w:pPr>
        <w:spacing w:after="0" w:line="360" w:lineRule="auto"/>
        <w:rPr>
          <w:rFonts w:ascii="Garamond" w:hAnsi="Garamond"/>
          <w:b/>
          <w:sz w:val="24"/>
          <w:u w:val="single"/>
        </w:rPr>
      </w:pPr>
      <w:r>
        <w:rPr>
          <w:rFonts w:ascii="Garamond" w:hAnsi="Garamond"/>
          <w:b/>
          <w:sz w:val="24"/>
          <w:u w:val="single"/>
        </w:rPr>
        <w:t xml:space="preserve">III. </w:t>
      </w:r>
      <w:r w:rsidR="00D1259B">
        <w:rPr>
          <w:rFonts w:ascii="Garamond" w:hAnsi="Garamond"/>
          <w:b/>
          <w:sz w:val="24"/>
          <w:u w:val="single"/>
        </w:rPr>
        <w:t>Recommendations</w:t>
      </w:r>
    </w:p>
    <w:p w14:paraId="61CEBBB6" w14:textId="66F6829F" w:rsidR="00CF3D6F" w:rsidRDefault="00710A9A" w:rsidP="00747F4E">
      <w:pPr>
        <w:pStyle w:val="ListParagraph"/>
        <w:numPr>
          <w:ilvl w:val="0"/>
          <w:numId w:val="3"/>
        </w:numPr>
        <w:spacing w:after="0" w:line="360" w:lineRule="auto"/>
        <w:rPr>
          <w:rFonts w:ascii="Garamond" w:hAnsi="Garamond"/>
          <w:sz w:val="24"/>
        </w:rPr>
      </w:pPr>
      <w:r w:rsidRPr="00CB70B1">
        <w:rPr>
          <w:rFonts w:ascii="Garamond" w:hAnsi="Garamond"/>
          <w:b/>
          <w:sz w:val="24"/>
        </w:rPr>
        <w:t xml:space="preserve">Collaborate with faculty to find </w:t>
      </w:r>
      <w:r w:rsidR="00CB70B1" w:rsidRPr="00CB70B1">
        <w:rPr>
          <w:rFonts w:ascii="Garamond" w:hAnsi="Garamond"/>
          <w:b/>
          <w:sz w:val="24"/>
        </w:rPr>
        <w:t>subject</w:t>
      </w:r>
      <w:r w:rsidRPr="00CB70B1">
        <w:rPr>
          <w:rFonts w:ascii="Garamond" w:hAnsi="Garamond"/>
          <w:b/>
          <w:sz w:val="24"/>
        </w:rPr>
        <w:t>-relevant avenues</w:t>
      </w:r>
      <w:r w:rsidR="00747F4E">
        <w:rPr>
          <w:rFonts w:ascii="Garamond" w:hAnsi="Garamond"/>
          <w:b/>
          <w:sz w:val="24"/>
        </w:rPr>
        <w:t xml:space="preserve"> to incorporate sexual violence </w:t>
      </w:r>
      <w:r w:rsidRPr="00CB70B1">
        <w:rPr>
          <w:rFonts w:ascii="Garamond" w:hAnsi="Garamond"/>
          <w:b/>
          <w:sz w:val="24"/>
        </w:rPr>
        <w:t>prevention and resource information into the classroom, a space where</w:t>
      </w:r>
      <w:r w:rsidR="00A647A2" w:rsidRPr="00CB70B1">
        <w:rPr>
          <w:rFonts w:ascii="Garamond" w:hAnsi="Garamond"/>
          <w:b/>
          <w:sz w:val="24"/>
        </w:rPr>
        <w:t xml:space="preserve"> students feel respected and valued</w:t>
      </w:r>
      <w:r w:rsidR="00A647A2" w:rsidRPr="004278D0">
        <w:rPr>
          <w:rFonts w:ascii="Garamond" w:hAnsi="Garamond"/>
          <w:sz w:val="24"/>
        </w:rPr>
        <w:t xml:space="preserve">. </w:t>
      </w:r>
      <w:r w:rsidR="00CB70B1">
        <w:rPr>
          <w:rFonts w:ascii="Garamond" w:hAnsi="Garamond"/>
          <w:sz w:val="24"/>
        </w:rPr>
        <w:t>In offering various co-curricular opportunities for ongoing education (e.g.</w:t>
      </w:r>
      <w:r w:rsidR="00D1259B">
        <w:rPr>
          <w:rFonts w:ascii="Garamond" w:hAnsi="Garamond"/>
          <w:sz w:val="24"/>
        </w:rPr>
        <w:t>,</w:t>
      </w:r>
      <w:r w:rsidR="00CB70B1">
        <w:rPr>
          <w:rFonts w:ascii="Garamond" w:hAnsi="Garamond"/>
          <w:sz w:val="24"/>
        </w:rPr>
        <w:t xml:space="preserve"> national speakers, passive programming on social media, healthy relationship workshops)</w:t>
      </w:r>
      <w:r w:rsidR="00D1259B">
        <w:rPr>
          <w:rFonts w:ascii="Garamond" w:hAnsi="Garamond"/>
          <w:sz w:val="24"/>
        </w:rPr>
        <w:t>,</w:t>
      </w:r>
      <w:r w:rsidR="00CB70B1">
        <w:rPr>
          <w:rFonts w:ascii="Garamond" w:hAnsi="Garamond"/>
          <w:sz w:val="24"/>
        </w:rPr>
        <w:t xml:space="preserve"> the </w:t>
      </w:r>
      <w:r w:rsidR="00DE1396">
        <w:rPr>
          <w:rFonts w:ascii="Garamond" w:hAnsi="Garamond"/>
          <w:sz w:val="24"/>
        </w:rPr>
        <w:t xml:space="preserve">Title IX Office </w:t>
      </w:r>
      <w:r w:rsidR="00CB70B1">
        <w:rPr>
          <w:rFonts w:ascii="Garamond" w:hAnsi="Garamond"/>
          <w:sz w:val="24"/>
        </w:rPr>
        <w:t>seeks to expand</w:t>
      </w:r>
      <w:r>
        <w:rPr>
          <w:rFonts w:ascii="Garamond" w:hAnsi="Garamond"/>
          <w:sz w:val="24"/>
        </w:rPr>
        <w:t xml:space="preserve"> the </w:t>
      </w:r>
      <w:r w:rsidR="00CB70B1">
        <w:rPr>
          <w:rFonts w:ascii="Garamond" w:hAnsi="Garamond"/>
          <w:sz w:val="24"/>
        </w:rPr>
        <w:t>conversation around violence prevention beyond the first</w:t>
      </w:r>
      <w:r w:rsidR="00D1259B">
        <w:rPr>
          <w:rFonts w:ascii="Garamond" w:hAnsi="Garamond"/>
          <w:sz w:val="24"/>
        </w:rPr>
        <w:t>-</w:t>
      </w:r>
      <w:r w:rsidR="00CB70B1">
        <w:rPr>
          <w:rFonts w:ascii="Garamond" w:hAnsi="Garamond"/>
          <w:sz w:val="24"/>
        </w:rPr>
        <w:t>year students’ first</w:t>
      </w:r>
      <w:r w:rsidR="00D1259B">
        <w:rPr>
          <w:rFonts w:ascii="Garamond" w:hAnsi="Garamond"/>
          <w:sz w:val="24"/>
        </w:rPr>
        <w:t>-</w:t>
      </w:r>
      <w:r w:rsidR="00CB70B1">
        <w:rPr>
          <w:rFonts w:ascii="Garamond" w:hAnsi="Garamond"/>
          <w:sz w:val="24"/>
        </w:rPr>
        <w:t xml:space="preserve">semester training requirements. For sustainable culture change, however, it would be worthwhile to leverage the expertise of our faculty in the classroom </w:t>
      </w:r>
      <w:r w:rsidR="00D1259B">
        <w:rPr>
          <w:rFonts w:ascii="Garamond" w:hAnsi="Garamond"/>
          <w:sz w:val="24"/>
        </w:rPr>
        <w:t>with</w:t>
      </w:r>
      <w:r w:rsidR="00CB70B1">
        <w:rPr>
          <w:rFonts w:ascii="Garamond" w:hAnsi="Garamond"/>
          <w:sz w:val="24"/>
        </w:rPr>
        <w:t xml:space="preserve"> nuanced and difficult conversations around power, control</w:t>
      </w:r>
      <w:r w:rsidR="00D1259B">
        <w:rPr>
          <w:rFonts w:ascii="Garamond" w:hAnsi="Garamond"/>
          <w:sz w:val="24"/>
        </w:rPr>
        <w:t xml:space="preserve">, </w:t>
      </w:r>
      <w:r w:rsidR="00CB70B1">
        <w:rPr>
          <w:rFonts w:ascii="Garamond" w:hAnsi="Garamond"/>
          <w:sz w:val="24"/>
        </w:rPr>
        <w:t xml:space="preserve">and sociocultural norms. </w:t>
      </w:r>
    </w:p>
    <w:p w14:paraId="53042150" w14:textId="2734B4D1" w:rsidR="00B17985" w:rsidRPr="00DE1396" w:rsidRDefault="00DE1396" w:rsidP="00747F4E">
      <w:pPr>
        <w:pStyle w:val="ListParagraph"/>
        <w:numPr>
          <w:ilvl w:val="0"/>
          <w:numId w:val="3"/>
        </w:numPr>
        <w:spacing w:after="0" w:line="360" w:lineRule="auto"/>
        <w:rPr>
          <w:rFonts w:ascii="Garamond" w:hAnsi="Garamond"/>
          <w:sz w:val="24"/>
        </w:rPr>
      </w:pPr>
      <w:r>
        <w:rPr>
          <w:rFonts w:ascii="Garamond" w:hAnsi="Garamond"/>
          <w:b/>
          <w:sz w:val="24"/>
        </w:rPr>
        <w:t>Seek to streamline</w:t>
      </w:r>
      <w:r w:rsidR="00775253">
        <w:rPr>
          <w:rFonts w:ascii="Garamond" w:hAnsi="Garamond"/>
          <w:b/>
          <w:sz w:val="24"/>
        </w:rPr>
        <w:t xml:space="preserve"> messaging to students </w:t>
      </w:r>
      <w:r w:rsidR="00E72F61">
        <w:rPr>
          <w:rFonts w:ascii="Garamond" w:hAnsi="Garamond"/>
          <w:b/>
          <w:sz w:val="24"/>
        </w:rPr>
        <w:t>of</w:t>
      </w:r>
      <w:r w:rsidR="00775253">
        <w:rPr>
          <w:rFonts w:ascii="Garamond" w:hAnsi="Garamond"/>
          <w:b/>
          <w:sz w:val="24"/>
        </w:rPr>
        <w:t xml:space="preserve"> steps involved in an investigation of an alleged violation of the Sexual Misconduct Policy. </w:t>
      </w:r>
      <w:r>
        <w:rPr>
          <w:rFonts w:ascii="Garamond" w:hAnsi="Garamond"/>
          <w:sz w:val="24"/>
        </w:rPr>
        <w:t>Though students are absorbing information about what constitutes sexual misconduct and how to access support if needed, there is a lack of clarity around the process of investigating an alleged violation of the Sexual Misconduct Policy, as managed by the Title IX Office, which</w:t>
      </w:r>
      <w:r w:rsidR="00D73B6C" w:rsidRPr="004278D0">
        <w:rPr>
          <w:rFonts w:ascii="Garamond" w:hAnsi="Garamond"/>
          <w:sz w:val="24"/>
        </w:rPr>
        <w:t xml:space="preserve"> could lead to</w:t>
      </w:r>
      <w:r w:rsidR="00D73B6C">
        <w:rPr>
          <w:rFonts w:ascii="Garamond" w:hAnsi="Garamond"/>
          <w:sz w:val="24"/>
        </w:rPr>
        <w:t xml:space="preserve"> student</w:t>
      </w:r>
      <w:r w:rsidR="00D73B6C" w:rsidRPr="004278D0">
        <w:rPr>
          <w:rFonts w:ascii="Garamond" w:hAnsi="Garamond"/>
          <w:sz w:val="24"/>
        </w:rPr>
        <w:t xml:space="preserve"> reservations with bringing forward</w:t>
      </w:r>
      <w:r>
        <w:rPr>
          <w:rFonts w:ascii="Garamond" w:hAnsi="Garamond"/>
          <w:sz w:val="24"/>
        </w:rPr>
        <w:t xml:space="preserve"> a complaint. </w:t>
      </w:r>
      <w:r w:rsidR="00D73B6C" w:rsidRPr="00DE1396">
        <w:rPr>
          <w:rFonts w:ascii="Garamond" w:hAnsi="Garamond"/>
          <w:sz w:val="24"/>
        </w:rPr>
        <w:t xml:space="preserve">The investigation process </w:t>
      </w:r>
      <w:r w:rsidR="00D1259B">
        <w:rPr>
          <w:rFonts w:ascii="Garamond" w:hAnsi="Garamond"/>
          <w:sz w:val="24"/>
        </w:rPr>
        <w:t>could be more transparent</w:t>
      </w:r>
      <w:r w:rsidR="00D73B6C" w:rsidRPr="00DE1396">
        <w:rPr>
          <w:rFonts w:ascii="Garamond" w:hAnsi="Garamond"/>
          <w:sz w:val="24"/>
        </w:rPr>
        <w:t xml:space="preserve"> when discussed theoretically </w:t>
      </w:r>
      <w:r w:rsidR="00D1259B">
        <w:rPr>
          <w:rFonts w:ascii="Garamond" w:hAnsi="Garamond"/>
          <w:sz w:val="24"/>
        </w:rPr>
        <w:t>than</w:t>
      </w:r>
      <w:r w:rsidR="00D73B6C" w:rsidRPr="00DE1396">
        <w:rPr>
          <w:rFonts w:ascii="Garamond" w:hAnsi="Garamond"/>
          <w:sz w:val="24"/>
        </w:rPr>
        <w:t xml:space="preserve"> when </w:t>
      </w:r>
      <w:r w:rsidR="00D1259B">
        <w:rPr>
          <w:rFonts w:ascii="Garamond" w:hAnsi="Garamond"/>
          <w:sz w:val="24"/>
        </w:rPr>
        <w:t>examined</w:t>
      </w:r>
      <w:r w:rsidR="00D1259B" w:rsidRPr="00DE1396">
        <w:rPr>
          <w:rFonts w:ascii="Garamond" w:hAnsi="Garamond"/>
          <w:sz w:val="24"/>
        </w:rPr>
        <w:t xml:space="preserve"> </w:t>
      </w:r>
      <w:r w:rsidR="00D73B6C" w:rsidRPr="00DE1396">
        <w:rPr>
          <w:rFonts w:ascii="Garamond" w:hAnsi="Garamond"/>
          <w:sz w:val="24"/>
        </w:rPr>
        <w:t xml:space="preserve">with a party to a complaint regarding </w:t>
      </w:r>
      <w:r w:rsidR="00E72F61">
        <w:rPr>
          <w:rFonts w:ascii="Garamond" w:hAnsi="Garamond"/>
          <w:sz w:val="24"/>
        </w:rPr>
        <w:t>that</w:t>
      </w:r>
      <w:r w:rsidR="00D73B6C" w:rsidRPr="00DE1396">
        <w:rPr>
          <w:rFonts w:ascii="Garamond" w:hAnsi="Garamond"/>
          <w:sz w:val="24"/>
        </w:rPr>
        <w:t xml:space="preserve"> </w:t>
      </w:r>
      <w:r w:rsidR="00381FA7" w:rsidRPr="00DE1396">
        <w:rPr>
          <w:rFonts w:ascii="Garamond" w:hAnsi="Garamond"/>
          <w:sz w:val="24"/>
        </w:rPr>
        <w:t>complaint</w:t>
      </w:r>
      <w:r w:rsidR="00D73B6C" w:rsidRPr="00DE1396">
        <w:rPr>
          <w:rFonts w:ascii="Garamond" w:hAnsi="Garamond"/>
          <w:sz w:val="24"/>
        </w:rPr>
        <w:t xml:space="preserve">. We know students tend to </w:t>
      </w:r>
      <w:r w:rsidR="00E72F61">
        <w:rPr>
          <w:rFonts w:ascii="Garamond" w:hAnsi="Garamond"/>
          <w:sz w:val="24"/>
        </w:rPr>
        <w:t>ignore</w:t>
      </w:r>
      <w:r w:rsidR="00D73B6C" w:rsidRPr="00DE1396">
        <w:rPr>
          <w:rFonts w:ascii="Garamond" w:hAnsi="Garamond"/>
          <w:sz w:val="24"/>
        </w:rPr>
        <w:t xml:space="preserve"> information they do not believe ‘applies’ to them, so despite explaining the process at various trainings, </w:t>
      </w:r>
      <w:r w:rsidR="00E72F61">
        <w:rPr>
          <w:rFonts w:ascii="Garamond" w:hAnsi="Garamond"/>
          <w:sz w:val="24"/>
        </w:rPr>
        <w:t>a</w:t>
      </w:r>
      <w:r w:rsidR="00D73B6C" w:rsidRPr="00DE1396">
        <w:rPr>
          <w:rFonts w:ascii="Garamond" w:hAnsi="Garamond"/>
          <w:sz w:val="24"/>
        </w:rPr>
        <w:t xml:space="preserve"> student </w:t>
      </w:r>
      <w:r w:rsidR="00E72F61">
        <w:rPr>
          <w:rFonts w:ascii="Garamond" w:hAnsi="Garamond"/>
          <w:sz w:val="24"/>
        </w:rPr>
        <w:t xml:space="preserve">likely </w:t>
      </w:r>
      <w:r w:rsidR="00D73B6C" w:rsidRPr="00DE1396">
        <w:rPr>
          <w:rFonts w:ascii="Garamond" w:hAnsi="Garamond"/>
          <w:sz w:val="24"/>
        </w:rPr>
        <w:t xml:space="preserve">would </w:t>
      </w:r>
      <w:r w:rsidR="00D1259B">
        <w:rPr>
          <w:rFonts w:ascii="Garamond" w:hAnsi="Garamond"/>
          <w:sz w:val="24"/>
        </w:rPr>
        <w:t>only</w:t>
      </w:r>
      <w:r w:rsidR="00D1259B" w:rsidRPr="00DE1396">
        <w:rPr>
          <w:rFonts w:ascii="Garamond" w:hAnsi="Garamond"/>
          <w:sz w:val="24"/>
        </w:rPr>
        <w:t xml:space="preserve"> </w:t>
      </w:r>
      <w:r w:rsidR="00D73B6C" w:rsidRPr="00DE1396">
        <w:rPr>
          <w:rFonts w:ascii="Garamond" w:hAnsi="Garamond"/>
          <w:sz w:val="24"/>
        </w:rPr>
        <w:t xml:space="preserve">recall that information or feel they understood the </w:t>
      </w:r>
      <w:r w:rsidR="001B6EB3">
        <w:rPr>
          <w:rFonts w:ascii="Garamond" w:hAnsi="Garamond"/>
          <w:sz w:val="24"/>
        </w:rPr>
        <w:t>procedures</w:t>
      </w:r>
      <w:r w:rsidR="001B6EB3" w:rsidRPr="00DE1396">
        <w:rPr>
          <w:rFonts w:ascii="Garamond" w:hAnsi="Garamond"/>
          <w:sz w:val="24"/>
        </w:rPr>
        <w:t xml:space="preserve"> </w:t>
      </w:r>
      <w:r w:rsidR="00D1259B">
        <w:rPr>
          <w:rFonts w:ascii="Garamond" w:hAnsi="Garamond"/>
          <w:sz w:val="24"/>
        </w:rPr>
        <w:lastRenderedPageBreak/>
        <w:t>once</w:t>
      </w:r>
      <w:r w:rsidR="00D1259B" w:rsidRPr="00DE1396">
        <w:rPr>
          <w:rFonts w:ascii="Garamond" w:hAnsi="Garamond"/>
          <w:sz w:val="24"/>
        </w:rPr>
        <w:t xml:space="preserve"> </w:t>
      </w:r>
      <w:r w:rsidR="00D73B6C" w:rsidRPr="00DE1396">
        <w:rPr>
          <w:rFonts w:ascii="Garamond" w:hAnsi="Garamond"/>
          <w:sz w:val="24"/>
        </w:rPr>
        <w:t xml:space="preserve">they were to </w:t>
      </w:r>
      <w:r w:rsidR="001B6EB3">
        <w:rPr>
          <w:rFonts w:ascii="Garamond" w:hAnsi="Garamond"/>
          <w:sz w:val="24"/>
        </w:rPr>
        <w:t>participate.</w:t>
      </w:r>
      <w:r>
        <w:rPr>
          <w:rFonts w:ascii="Garamond" w:hAnsi="Garamond"/>
          <w:sz w:val="24"/>
        </w:rPr>
        <w:t xml:space="preserve"> It is worth exploring alternative</w:t>
      </w:r>
      <w:r w:rsidR="00E72F61">
        <w:rPr>
          <w:rFonts w:ascii="Garamond" w:hAnsi="Garamond"/>
          <w:sz w:val="24"/>
        </w:rPr>
        <w:t xml:space="preserve"> modalities to explain</w:t>
      </w:r>
      <w:r>
        <w:rPr>
          <w:rFonts w:ascii="Garamond" w:hAnsi="Garamond"/>
          <w:sz w:val="24"/>
        </w:rPr>
        <w:t xml:space="preserve"> the process</w:t>
      </w:r>
      <w:r w:rsidR="00E72F61">
        <w:rPr>
          <w:rFonts w:ascii="Garamond" w:hAnsi="Garamond"/>
          <w:sz w:val="24"/>
        </w:rPr>
        <w:t xml:space="preserve">, such as interactive infographics or video/audio testimonial explanations. </w:t>
      </w:r>
      <w:r>
        <w:rPr>
          <w:rFonts w:ascii="Garamond" w:hAnsi="Garamond"/>
          <w:sz w:val="24"/>
        </w:rPr>
        <w:t xml:space="preserve"> </w:t>
      </w:r>
    </w:p>
    <w:p w14:paraId="607EDEFD" w14:textId="2C096C07" w:rsidR="00B17985" w:rsidRPr="00B17985" w:rsidRDefault="00E72F61" w:rsidP="00747F4E">
      <w:pPr>
        <w:pStyle w:val="ListParagraph"/>
        <w:numPr>
          <w:ilvl w:val="0"/>
          <w:numId w:val="3"/>
        </w:numPr>
        <w:spacing w:after="0" w:line="360" w:lineRule="auto"/>
        <w:rPr>
          <w:rFonts w:ascii="Garamond" w:hAnsi="Garamond"/>
          <w:sz w:val="24"/>
        </w:rPr>
      </w:pPr>
      <w:r w:rsidRPr="00E72F61">
        <w:rPr>
          <w:rFonts w:ascii="Garamond" w:hAnsi="Garamond"/>
          <w:b/>
          <w:sz w:val="24"/>
        </w:rPr>
        <w:t>Offer targeted education for secondary survivors.</w:t>
      </w:r>
      <w:r>
        <w:rPr>
          <w:rFonts w:ascii="Garamond" w:hAnsi="Garamond"/>
          <w:sz w:val="24"/>
        </w:rPr>
        <w:t xml:space="preserve"> </w:t>
      </w:r>
      <w:r w:rsidR="002B065E">
        <w:rPr>
          <w:rFonts w:ascii="Garamond" w:hAnsi="Garamond"/>
          <w:sz w:val="24"/>
        </w:rPr>
        <w:t xml:space="preserve">87% of those survey respondents who had experienced sexual assault disclosed </w:t>
      </w:r>
      <w:r w:rsidR="001E484D">
        <w:rPr>
          <w:rFonts w:ascii="Garamond" w:hAnsi="Garamond"/>
          <w:sz w:val="24"/>
        </w:rPr>
        <w:t xml:space="preserve">it </w:t>
      </w:r>
      <w:r w:rsidR="002B065E">
        <w:rPr>
          <w:rFonts w:ascii="Garamond" w:hAnsi="Garamond"/>
          <w:sz w:val="24"/>
        </w:rPr>
        <w:t xml:space="preserve">to a close friend. </w:t>
      </w:r>
      <w:r w:rsidR="00B17985" w:rsidRPr="00B17985">
        <w:rPr>
          <w:rFonts w:ascii="Garamond" w:hAnsi="Garamond"/>
          <w:sz w:val="24"/>
        </w:rPr>
        <w:t xml:space="preserve">We have an opportunity in training to focus on what a </w:t>
      </w:r>
      <w:r w:rsidR="002B065E">
        <w:rPr>
          <w:rFonts w:ascii="Garamond" w:hAnsi="Garamond"/>
          <w:sz w:val="24"/>
        </w:rPr>
        <w:t>peer</w:t>
      </w:r>
      <w:r w:rsidR="00B17985" w:rsidRPr="00B17985">
        <w:rPr>
          <w:rFonts w:ascii="Garamond" w:hAnsi="Garamond"/>
          <w:sz w:val="24"/>
        </w:rPr>
        <w:t xml:space="preserve"> receiving a disclosure might say to their friend in this </w:t>
      </w:r>
      <w:r w:rsidR="001E484D">
        <w:rPr>
          <w:rFonts w:ascii="Garamond" w:hAnsi="Garamond"/>
          <w:sz w:val="24"/>
        </w:rPr>
        <w:t>challenging</w:t>
      </w:r>
      <w:r w:rsidR="001E484D" w:rsidRPr="00B17985">
        <w:rPr>
          <w:rFonts w:ascii="Garamond" w:hAnsi="Garamond"/>
          <w:sz w:val="24"/>
        </w:rPr>
        <w:t xml:space="preserve"> </w:t>
      </w:r>
      <w:r w:rsidR="00B17985" w:rsidRPr="00B17985">
        <w:rPr>
          <w:rFonts w:ascii="Garamond" w:hAnsi="Garamond"/>
          <w:sz w:val="24"/>
        </w:rPr>
        <w:t>moment, what types of post-trauma</w:t>
      </w:r>
      <w:r w:rsidR="00621269">
        <w:rPr>
          <w:rFonts w:ascii="Garamond" w:hAnsi="Garamond"/>
          <w:sz w:val="24"/>
        </w:rPr>
        <w:t>tic</w:t>
      </w:r>
      <w:r w:rsidR="00B17985" w:rsidRPr="00B17985">
        <w:rPr>
          <w:rFonts w:ascii="Garamond" w:hAnsi="Garamond"/>
          <w:sz w:val="24"/>
        </w:rPr>
        <w:t xml:space="preserve"> changes and reactions are expected</w:t>
      </w:r>
      <w:r w:rsidR="00621269">
        <w:rPr>
          <w:rFonts w:ascii="Garamond" w:hAnsi="Garamond"/>
          <w:sz w:val="24"/>
        </w:rPr>
        <w:t xml:space="preserve"> from someone who has experienced sexual violence</w:t>
      </w:r>
      <w:r w:rsidR="00B17985" w:rsidRPr="00B17985">
        <w:rPr>
          <w:rFonts w:ascii="Garamond" w:hAnsi="Garamond"/>
          <w:sz w:val="24"/>
        </w:rPr>
        <w:t xml:space="preserve">, and how to </w:t>
      </w:r>
      <w:r w:rsidR="00621269">
        <w:rPr>
          <w:rFonts w:ascii="Garamond" w:hAnsi="Garamond"/>
          <w:sz w:val="24"/>
        </w:rPr>
        <w:t xml:space="preserve">best </w:t>
      </w:r>
      <w:r w:rsidR="00B17985" w:rsidRPr="00B17985">
        <w:rPr>
          <w:rFonts w:ascii="Garamond" w:hAnsi="Garamond"/>
          <w:sz w:val="24"/>
        </w:rPr>
        <w:t xml:space="preserve">care for </w:t>
      </w:r>
      <w:r w:rsidR="00621269">
        <w:rPr>
          <w:rFonts w:ascii="Garamond" w:hAnsi="Garamond"/>
          <w:sz w:val="24"/>
        </w:rPr>
        <w:t>oneself as a secondary survivor and support person.</w:t>
      </w:r>
    </w:p>
    <w:p w14:paraId="7E3D8372" w14:textId="183C1012" w:rsidR="00B17985" w:rsidRPr="00B17985" w:rsidRDefault="00B219E9" w:rsidP="00747F4E">
      <w:pPr>
        <w:pStyle w:val="ListParagraph"/>
        <w:numPr>
          <w:ilvl w:val="0"/>
          <w:numId w:val="3"/>
        </w:numPr>
        <w:spacing w:after="0" w:line="360" w:lineRule="auto"/>
        <w:rPr>
          <w:rFonts w:ascii="Garamond" w:hAnsi="Garamond"/>
          <w:sz w:val="24"/>
        </w:rPr>
      </w:pPr>
      <w:r w:rsidRPr="00B219E9">
        <w:rPr>
          <w:rFonts w:ascii="Garamond" w:hAnsi="Garamond"/>
          <w:b/>
          <w:sz w:val="24"/>
        </w:rPr>
        <w:t>Assess barriers to formal reporting</w:t>
      </w:r>
      <w:r>
        <w:rPr>
          <w:rFonts w:ascii="Garamond" w:hAnsi="Garamond"/>
          <w:b/>
          <w:sz w:val="24"/>
        </w:rPr>
        <w:t xml:space="preserve"> of alleged violations of</w:t>
      </w:r>
      <w:r w:rsidR="001E484D">
        <w:rPr>
          <w:rFonts w:ascii="Garamond" w:hAnsi="Garamond"/>
          <w:b/>
          <w:sz w:val="24"/>
        </w:rPr>
        <w:t xml:space="preserve"> the</w:t>
      </w:r>
      <w:r>
        <w:rPr>
          <w:rFonts w:ascii="Garamond" w:hAnsi="Garamond"/>
          <w:b/>
          <w:sz w:val="24"/>
        </w:rPr>
        <w:t xml:space="preserve"> Sexual Misconduct Policy</w:t>
      </w:r>
      <w:r>
        <w:rPr>
          <w:rFonts w:ascii="Garamond" w:hAnsi="Garamond"/>
          <w:sz w:val="24"/>
        </w:rPr>
        <w:t xml:space="preserve">. </w:t>
      </w:r>
      <w:r w:rsidR="00B17985" w:rsidRPr="00B17985">
        <w:rPr>
          <w:rFonts w:ascii="Garamond" w:hAnsi="Garamond"/>
          <w:sz w:val="24"/>
        </w:rPr>
        <w:t xml:space="preserve">86% of those who had experienced sexual assault </w:t>
      </w:r>
      <w:r w:rsidR="00B17985" w:rsidRPr="00B17985">
        <w:rPr>
          <w:rFonts w:ascii="Garamond" w:hAnsi="Garamond"/>
          <w:sz w:val="24"/>
          <w:u w:val="single"/>
        </w:rPr>
        <w:t>did not</w:t>
      </w:r>
      <w:r w:rsidR="00B17985" w:rsidRPr="00B17985">
        <w:rPr>
          <w:rFonts w:ascii="Garamond" w:hAnsi="Garamond"/>
          <w:sz w:val="24"/>
        </w:rPr>
        <w:t xml:space="preserve"> pursue the HWS procedure for making a formal report. </w:t>
      </w:r>
      <w:r w:rsidR="00911F8C">
        <w:rPr>
          <w:rFonts w:ascii="Garamond" w:hAnsi="Garamond"/>
          <w:sz w:val="24"/>
        </w:rPr>
        <w:t>It</w:t>
      </w:r>
      <w:r w:rsidR="00B17985" w:rsidRPr="00B17985">
        <w:rPr>
          <w:rFonts w:ascii="Garamond" w:hAnsi="Garamond"/>
          <w:sz w:val="24"/>
        </w:rPr>
        <w:t xml:space="preserve"> would </w:t>
      </w:r>
      <w:r>
        <w:rPr>
          <w:rFonts w:ascii="Garamond" w:hAnsi="Garamond"/>
          <w:sz w:val="24"/>
        </w:rPr>
        <w:t xml:space="preserve">be useful to define within the question what constitutes </w:t>
      </w:r>
      <w:r w:rsidR="00B17985" w:rsidRPr="00B17985">
        <w:rPr>
          <w:rFonts w:ascii="Garamond" w:hAnsi="Garamond"/>
          <w:sz w:val="24"/>
        </w:rPr>
        <w:t>“HWS procedu</w:t>
      </w:r>
      <w:r>
        <w:rPr>
          <w:rFonts w:ascii="Garamond" w:hAnsi="Garamond"/>
          <w:sz w:val="24"/>
        </w:rPr>
        <w:t xml:space="preserve">res for making a formal report:” </w:t>
      </w:r>
      <w:r w:rsidR="00B17985" w:rsidRPr="00B17985">
        <w:rPr>
          <w:rFonts w:ascii="Garamond" w:hAnsi="Garamond"/>
          <w:sz w:val="24"/>
        </w:rPr>
        <w:t xml:space="preserve">disclosure </w:t>
      </w:r>
      <w:r>
        <w:rPr>
          <w:rFonts w:ascii="Garamond" w:hAnsi="Garamond"/>
          <w:sz w:val="24"/>
        </w:rPr>
        <w:t xml:space="preserve">directly </w:t>
      </w:r>
      <w:r w:rsidR="00B17985" w:rsidRPr="00B17985">
        <w:rPr>
          <w:rFonts w:ascii="Garamond" w:hAnsi="Garamond"/>
          <w:sz w:val="24"/>
        </w:rPr>
        <w:t>to the</w:t>
      </w:r>
      <w:r w:rsidR="009D3F7F">
        <w:rPr>
          <w:rFonts w:ascii="Garamond" w:hAnsi="Garamond"/>
          <w:sz w:val="24"/>
        </w:rPr>
        <w:t xml:space="preserve"> Title IX</w:t>
      </w:r>
      <w:r w:rsidR="00B17985" w:rsidRPr="00B17985">
        <w:rPr>
          <w:rFonts w:ascii="Garamond" w:hAnsi="Garamond"/>
          <w:sz w:val="24"/>
        </w:rPr>
        <w:t xml:space="preserve"> Offic</w:t>
      </w:r>
      <w:r w:rsidR="009D3F7F">
        <w:rPr>
          <w:rFonts w:ascii="Garamond" w:hAnsi="Garamond"/>
          <w:sz w:val="24"/>
        </w:rPr>
        <w:t>e</w:t>
      </w:r>
      <w:r w:rsidR="00B17985" w:rsidRPr="00B17985">
        <w:rPr>
          <w:rFonts w:ascii="Garamond" w:hAnsi="Garamond"/>
          <w:sz w:val="24"/>
        </w:rPr>
        <w:t>, to another campus entity</w:t>
      </w:r>
      <w:r>
        <w:rPr>
          <w:rFonts w:ascii="Garamond" w:hAnsi="Garamond"/>
          <w:sz w:val="24"/>
        </w:rPr>
        <w:t xml:space="preserve"> such as Campus Safety or Residential Education</w:t>
      </w:r>
      <w:r w:rsidR="00B17985" w:rsidRPr="00B17985">
        <w:rPr>
          <w:rFonts w:ascii="Garamond" w:hAnsi="Garamond"/>
          <w:sz w:val="24"/>
        </w:rPr>
        <w:t xml:space="preserve">, </w:t>
      </w:r>
      <w:r w:rsidR="001E484D">
        <w:rPr>
          <w:rFonts w:ascii="Garamond" w:hAnsi="Garamond"/>
          <w:sz w:val="24"/>
        </w:rPr>
        <w:t xml:space="preserve">or </w:t>
      </w:r>
      <w:r w:rsidR="00B17985" w:rsidRPr="00B17985">
        <w:rPr>
          <w:rFonts w:ascii="Garamond" w:hAnsi="Garamond"/>
          <w:sz w:val="24"/>
        </w:rPr>
        <w:t>a formal complaint and investigation</w:t>
      </w:r>
      <w:r>
        <w:rPr>
          <w:rFonts w:ascii="Garamond" w:hAnsi="Garamond"/>
          <w:sz w:val="24"/>
        </w:rPr>
        <w:t xml:space="preserve"> through the Title IX Office</w:t>
      </w:r>
      <w:r w:rsidR="00B17985" w:rsidRPr="00B17985">
        <w:rPr>
          <w:rFonts w:ascii="Garamond" w:hAnsi="Garamond"/>
          <w:sz w:val="24"/>
        </w:rPr>
        <w:t xml:space="preserve"> </w:t>
      </w:r>
      <w:r w:rsidR="00336C5D">
        <w:rPr>
          <w:rFonts w:ascii="Garamond" w:hAnsi="Garamond"/>
          <w:sz w:val="24"/>
        </w:rPr>
        <w:t>under</w:t>
      </w:r>
      <w:r w:rsidR="00B17985" w:rsidRPr="00B17985">
        <w:rPr>
          <w:rFonts w:ascii="Garamond" w:hAnsi="Garamond"/>
          <w:sz w:val="24"/>
        </w:rPr>
        <w:t xml:space="preserve"> the Sexual Misconduct Policy?</w:t>
      </w:r>
      <w:r w:rsidR="00F61A35">
        <w:rPr>
          <w:rFonts w:ascii="Garamond" w:hAnsi="Garamond"/>
          <w:sz w:val="24"/>
        </w:rPr>
        <w:t xml:space="preserve"> Once parameters are set, it could be instructive to</w:t>
      </w:r>
      <w:r w:rsidR="008425C0">
        <w:rPr>
          <w:rFonts w:ascii="Garamond" w:hAnsi="Garamond"/>
          <w:sz w:val="24"/>
        </w:rPr>
        <w:t xml:space="preserve"> add a question to determine</w:t>
      </w:r>
      <w:r w:rsidR="00F61A35">
        <w:rPr>
          <w:rFonts w:ascii="Garamond" w:hAnsi="Garamond"/>
          <w:sz w:val="24"/>
        </w:rPr>
        <w:t xml:space="preserve"> why students </w:t>
      </w:r>
      <w:r w:rsidR="00911F8C">
        <w:rPr>
          <w:rFonts w:ascii="Garamond" w:hAnsi="Garamond"/>
          <w:sz w:val="24"/>
        </w:rPr>
        <w:t>did not pursue the procedure.</w:t>
      </w:r>
    </w:p>
    <w:p w14:paraId="18E8B011" w14:textId="32E3E35E" w:rsidR="00B17985" w:rsidRPr="008425C0" w:rsidRDefault="00D10A08" w:rsidP="00747F4E">
      <w:pPr>
        <w:pStyle w:val="ListParagraph"/>
        <w:numPr>
          <w:ilvl w:val="0"/>
          <w:numId w:val="3"/>
        </w:numPr>
        <w:spacing w:after="0" w:line="360" w:lineRule="auto"/>
        <w:rPr>
          <w:rFonts w:ascii="Garamond" w:hAnsi="Garamond"/>
          <w:sz w:val="24"/>
        </w:rPr>
      </w:pPr>
      <w:r w:rsidRPr="00A234B4">
        <w:rPr>
          <w:rFonts w:ascii="Garamond" w:hAnsi="Garamond"/>
          <w:b/>
          <w:sz w:val="24"/>
        </w:rPr>
        <w:t>Increase</w:t>
      </w:r>
      <w:r w:rsidR="00602B30" w:rsidRPr="00A234B4">
        <w:rPr>
          <w:rFonts w:ascii="Garamond" w:hAnsi="Garamond"/>
          <w:b/>
          <w:sz w:val="24"/>
        </w:rPr>
        <w:t xml:space="preserve"> </w:t>
      </w:r>
      <w:r w:rsidR="00A234B4">
        <w:rPr>
          <w:rFonts w:ascii="Garamond" w:hAnsi="Garamond"/>
          <w:b/>
          <w:sz w:val="24"/>
        </w:rPr>
        <w:t>intervention skills and readiness.</w:t>
      </w:r>
      <w:r w:rsidR="00A234B4">
        <w:rPr>
          <w:rFonts w:ascii="Garamond" w:hAnsi="Garamond"/>
          <w:sz w:val="24"/>
        </w:rPr>
        <w:t xml:space="preserve"> </w:t>
      </w:r>
      <w:r w:rsidR="001E484D" w:rsidRPr="001E484D">
        <w:rPr>
          <w:rFonts w:ascii="Garamond" w:hAnsi="Garamond"/>
          <w:sz w:val="24"/>
        </w:rPr>
        <w:t xml:space="preserve">The 2019 survey showed relatively low intervention rates and some uncertainty as to whether students are genuinely concerned about each other's welfare or whether students contribute to a positive and supportive campus climate. Most respondents to the survey would have attended a bystander intervention workshop in their first year at the Colleges. Beginning in </w:t>
      </w:r>
      <w:r w:rsidR="001E484D">
        <w:rPr>
          <w:rFonts w:ascii="Garamond" w:hAnsi="Garamond"/>
          <w:sz w:val="24"/>
        </w:rPr>
        <w:t xml:space="preserve">the </w:t>
      </w:r>
      <w:r w:rsidR="001E484D" w:rsidRPr="001E484D">
        <w:rPr>
          <w:rFonts w:ascii="Garamond" w:hAnsi="Garamond"/>
          <w:sz w:val="24"/>
        </w:rPr>
        <w:t>Fall of 2017, all new students participated in an in-person bystander intervention workshop during the first week of class, consisting of a short video developed by Cornell University's Skorton Center for Health Initiatives.</w:t>
      </w:r>
      <w:r w:rsidR="001E484D">
        <w:rPr>
          <w:rFonts w:ascii="Garamond" w:hAnsi="Garamond"/>
          <w:sz w:val="24"/>
        </w:rPr>
        <w:t xml:space="preserve"> The bystander intervention</w:t>
      </w:r>
      <w:r w:rsidR="00DB32EF">
        <w:rPr>
          <w:rFonts w:ascii="Garamond" w:hAnsi="Garamond"/>
          <w:sz w:val="24"/>
        </w:rPr>
        <w:t xml:space="preserve"> was</w:t>
      </w:r>
      <w:r w:rsidR="008425C0">
        <w:rPr>
          <w:rFonts w:ascii="Garamond" w:hAnsi="Garamond"/>
          <w:sz w:val="24"/>
        </w:rPr>
        <w:t xml:space="preserve"> </w:t>
      </w:r>
      <w:r w:rsidR="001603A9">
        <w:rPr>
          <w:rFonts w:ascii="Garamond" w:hAnsi="Garamond"/>
          <w:sz w:val="24"/>
        </w:rPr>
        <w:t xml:space="preserve">followed by </w:t>
      </w:r>
      <w:r w:rsidR="001E484D">
        <w:rPr>
          <w:rFonts w:ascii="Garamond" w:hAnsi="Garamond"/>
          <w:sz w:val="24"/>
        </w:rPr>
        <w:t xml:space="preserve">a </w:t>
      </w:r>
      <w:r w:rsidR="001603A9">
        <w:rPr>
          <w:rFonts w:ascii="Garamond" w:hAnsi="Garamond"/>
          <w:sz w:val="24"/>
        </w:rPr>
        <w:t>discussion led by</w:t>
      </w:r>
      <w:r w:rsidR="008425C0">
        <w:rPr>
          <w:rFonts w:ascii="Garamond" w:hAnsi="Garamond"/>
          <w:sz w:val="24"/>
        </w:rPr>
        <w:t xml:space="preserve"> HWS staff facilitators </w:t>
      </w:r>
      <w:r w:rsidR="001603A9">
        <w:rPr>
          <w:rFonts w:ascii="Garamond" w:hAnsi="Garamond"/>
          <w:sz w:val="24"/>
        </w:rPr>
        <w:t>on</w:t>
      </w:r>
      <w:r w:rsidR="008425C0">
        <w:rPr>
          <w:rFonts w:ascii="Garamond" w:hAnsi="Garamond"/>
          <w:sz w:val="24"/>
        </w:rPr>
        <w:t xml:space="preserve"> topics from recognizing a potentially harmful situation</w:t>
      </w:r>
      <w:r w:rsidR="001E484D">
        <w:rPr>
          <w:rFonts w:ascii="Garamond" w:hAnsi="Garamond"/>
          <w:sz w:val="24"/>
        </w:rPr>
        <w:t xml:space="preserve"> </w:t>
      </w:r>
      <w:r w:rsidR="008425C0">
        <w:rPr>
          <w:rFonts w:ascii="Garamond" w:hAnsi="Garamond"/>
          <w:sz w:val="24"/>
        </w:rPr>
        <w:t xml:space="preserve">to assessing personal barriers to getting involved to feasible strategies for intervention. </w:t>
      </w:r>
      <w:r w:rsidR="001603A9">
        <w:rPr>
          <w:rFonts w:ascii="Garamond" w:hAnsi="Garamond"/>
          <w:sz w:val="24"/>
        </w:rPr>
        <w:t>Previously,</w:t>
      </w:r>
      <w:r w:rsidR="008425C0">
        <w:rPr>
          <w:rFonts w:ascii="Garamond" w:hAnsi="Garamond"/>
          <w:sz w:val="24"/>
        </w:rPr>
        <w:t xml:space="preserve"> new students </w:t>
      </w:r>
      <w:r w:rsidR="001603A9">
        <w:rPr>
          <w:rFonts w:ascii="Garamond" w:hAnsi="Garamond"/>
          <w:sz w:val="24"/>
        </w:rPr>
        <w:t>attended</w:t>
      </w:r>
      <w:r w:rsidR="008425C0">
        <w:rPr>
          <w:rFonts w:ascii="Garamond" w:hAnsi="Garamond"/>
          <w:sz w:val="24"/>
        </w:rPr>
        <w:t xml:space="preserve"> a ‘Bringing in the Bystander’</w:t>
      </w:r>
      <w:r w:rsidR="001603A9">
        <w:rPr>
          <w:rFonts w:ascii="Garamond" w:hAnsi="Garamond"/>
          <w:sz w:val="24"/>
        </w:rPr>
        <w:t xml:space="preserve"> workshop, covering </w:t>
      </w:r>
      <w:r w:rsidR="00E51B12">
        <w:rPr>
          <w:rFonts w:ascii="Garamond" w:hAnsi="Garamond"/>
          <w:sz w:val="24"/>
        </w:rPr>
        <w:t xml:space="preserve">many of the same topics. </w:t>
      </w:r>
      <w:r w:rsidR="001E484D" w:rsidRPr="001E484D">
        <w:rPr>
          <w:rFonts w:ascii="Garamond" w:hAnsi="Garamond"/>
          <w:sz w:val="24"/>
        </w:rPr>
        <w:t xml:space="preserve">The only consistent bystander intervention training offered occurs during the </w:t>
      </w:r>
      <w:r w:rsidR="00DB32EF">
        <w:rPr>
          <w:rFonts w:ascii="Garamond" w:hAnsi="Garamond"/>
          <w:sz w:val="24"/>
        </w:rPr>
        <w:t xml:space="preserve">first year’s </w:t>
      </w:r>
      <w:r w:rsidR="001E484D" w:rsidRPr="001E484D">
        <w:rPr>
          <w:rFonts w:ascii="Garamond" w:hAnsi="Garamond"/>
          <w:sz w:val="24"/>
        </w:rPr>
        <w:t>overwhelming "red zone" period.</w:t>
      </w:r>
      <w:r w:rsidR="001E484D">
        <w:rPr>
          <w:rFonts w:ascii="Garamond" w:hAnsi="Garamond"/>
          <w:sz w:val="24"/>
        </w:rPr>
        <w:t xml:space="preserve"> </w:t>
      </w:r>
      <w:r w:rsidR="00E51B12">
        <w:rPr>
          <w:rFonts w:ascii="Garamond" w:hAnsi="Garamond"/>
          <w:sz w:val="24"/>
        </w:rPr>
        <w:t>It</w:t>
      </w:r>
      <w:r w:rsidR="008425C0">
        <w:rPr>
          <w:rFonts w:ascii="Garamond" w:hAnsi="Garamond"/>
          <w:sz w:val="24"/>
        </w:rPr>
        <w:t xml:space="preserve"> would be fruitful to </w:t>
      </w:r>
      <w:r w:rsidR="00E51B12">
        <w:rPr>
          <w:rFonts w:ascii="Garamond" w:hAnsi="Garamond"/>
          <w:sz w:val="24"/>
        </w:rPr>
        <w:t xml:space="preserve">develop </w:t>
      </w:r>
      <w:r w:rsidR="008425C0">
        <w:rPr>
          <w:rFonts w:ascii="Garamond" w:hAnsi="Garamond"/>
          <w:sz w:val="24"/>
        </w:rPr>
        <w:t xml:space="preserve">bystander intervention refresher programs </w:t>
      </w:r>
      <w:r w:rsidR="00E51B12">
        <w:rPr>
          <w:rFonts w:ascii="Garamond" w:hAnsi="Garamond"/>
          <w:sz w:val="24"/>
        </w:rPr>
        <w:t xml:space="preserve">or series </w:t>
      </w:r>
      <w:r w:rsidR="008425C0">
        <w:rPr>
          <w:rFonts w:ascii="Garamond" w:hAnsi="Garamond"/>
          <w:sz w:val="24"/>
        </w:rPr>
        <w:t xml:space="preserve">that cater to students </w:t>
      </w:r>
      <w:r w:rsidR="00E51B12">
        <w:rPr>
          <w:rFonts w:ascii="Garamond" w:hAnsi="Garamond"/>
          <w:sz w:val="24"/>
        </w:rPr>
        <w:t xml:space="preserve">who have established themselves more firmly in the </w:t>
      </w:r>
      <w:r w:rsidR="00911F8C">
        <w:rPr>
          <w:rFonts w:ascii="Garamond" w:hAnsi="Garamond"/>
          <w:sz w:val="24"/>
        </w:rPr>
        <w:t xml:space="preserve">Colleges’ </w:t>
      </w:r>
      <w:r w:rsidR="00E51B12">
        <w:rPr>
          <w:rFonts w:ascii="Garamond" w:hAnsi="Garamond"/>
          <w:sz w:val="24"/>
        </w:rPr>
        <w:t xml:space="preserve">culture. There may be </w:t>
      </w:r>
      <w:r w:rsidR="00911F8C">
        <w:rPr>
          <w:rFonts w:ascii="Garamond" w:hAnsi="Garamond"/>
          <w:sz w:val="24"/>
        </w:rPr>
        <w:t>a partnership</w:t>
      </w:r>
      <w:r w:rsidR="00E51B12">
        <w:rPr>
          <w:rFonts w:ascii="Garamond" w:hAnsi="Garamond"/>
          <w:sz w:val="24"/>
        </w:rPr>
        <w:t xml:space="preserve"> opportunity with the Centennial Center </w:t>
      </w:r>
      <w:r w:rsidR="00911F8C">
        <w:rPr>
          <w:rFonts w:ascii="Garamond" w:hAnsi="Garamond"/>
          <w:sz w:val="24"/>
        </w:rPr>
        <w:t>by using the</w:t>
      </w:r>
      <w:r w:rsidR="00E51B12">
        <w:rPr>
          <w:rFonts w:ascii="Garamond" w:hAnsi="Garamond"/>
          <w:sz w:val="24"/>
        </w:rPr>
        <w:t xml:space="preserve"> social change model to discuss leadership in intervention and culture change.</w:t>
      </w:r>
    </w:p>
    <w:p w14:paraId="31B73533" w14:textId="011E7C1D" w:rsidR="001E4A15" w:rsidRDefault="00D10A08" w:rsidP="00747F4E">
      <w:pPr>
        <w:pStyle w:val="ListParagraph"/>
        <w:numPr>
          <w:ilvl w:val="0"/>
          <w:numId w:val="3"/>
        </w:numPr>
        <w:spacing w:after="0" w:line="360" w:lineRule="auto"/>
        <w:rPr>
          <w:rFonts w:ascii="Garamond" w:hAnsi="Garamond"/>
          <w:sz w:val="24"/>
        </w:rPr>
      </w:pPr>
      <w:r w:rsidRPr="00A234B4">
        <w:rPr>
          <w:rFonts w:ascii="Garamond" w:hAnsi="Garamond"/>
          <w:b/>
          <w:sz w:val="24"/>
        </w:rPr>
        <w:t>Increase</w:t>
      </w:r>
      <w:r w:rsidR="001E4A15" w:rsidRPr="00A234B4">
        <w:rPr>
          <w:rFonts w:ascii="Garamond" w:hAnsi="Garamond"/>
          <w:b/>
          <w:sz w:val="24"/>
        </w:rPr>
        <w:t xml:space="preserve"> </w:t>
      </w:r>
      <w:r w:rsidRPr="00A234B4">
        <w:rPr>
          <w:rFonts w:ascii="Garamond" w:hAnsi="Garamond"/>
          <w:b/>
          <w:sz w:val="24"/>
        </w:rPr>
        <w:t xml:space="preserve">survey </w:t>
      </w:r>
      <w:r w:rsidR="001E4A15" w:rsidRPr="00A234B4">
        <w:rPr>
          <w:rFonts w:ascii="Garamond" w:hAnsi="Garamond"/>
          <w:b/>
          <w:sz w:val="24"/>
        </w:rPr>
        <w:t>response rate</w:t>
      </w:r>
      <w:r w:rsidR="00A234B4">
        <w:rPr>
          <w:rFonts w:ascii="Garamond" w:hAnsi="Garamond"/>
          <w:sz w:val="24"/>
        </w:rPr>
        <w:t>.</w:t>
      </w:r>
      <w:r>
        <w:rPr>
          <w:rFonts w:ascii="Garamond" w:hAnsi="Garamond"/>
          <w:sz w:val="24"/>
        </w:rPr>
        <w:t xml:space="preserve"> </w:t>
      </w:r>
      <w:r w:rsidR="00A234B4">
        <w:rPr>
          <w:rFonts w:ascii="Garamond" w:hAnsi="Garamond"/>
          <w:sz w:val="24"/>
        </w:rPr>
        <w:t xml:space="preserve">Though </w:t>
      </w:r>
      <w:r w:rsidR="00C54AF8">
        <w:rPr>
          <w:rFonts w:ascii="Garamond" w:hAnsi="Garamond"/>
          <w:sz w:val="24"/>
        </w:rPr>
        <w:t xml:space="preserve">able to discuss </w:t>
      </w:r>
      <w:r w:rsidR="00A234B4">
        <w:rPr>
          <w:rFonts w:ascii="Garamond" w:hAnsi="Garamond"/>
          <w:sz w:val="24"/>
        </w:rPr>
        <w:t xml:space="preserve">trends </w:t>
      </w:r>
      <w:r w:rsidR="001603A9">
        <w:rPr>
          <w:rFonts w:ascii="Garamond" w:hAnsi="Garamond"/>
          <w:sz w:val="24"/>
        </w:rPr>
        <w:t>emerging</w:t>
      </w:r>
      <w:r w:rsidR="00A234B4">
        <w:rPr>
          <w:rFonts w:ascii="Garamond" w:hAnsi="Garamond"/>
          <w:sz w:val="24"/>
        </w:rPr>
        <w:t xml:space="preserve"> from the </w:t>
      </w:r>
      <w:r w:rsidR="001603A9">
        <w:rPr>
          <w:rFonts w:ascii="Garamond" w:hAnsi="Garamond"/>
          <w:sz w:val="24"/>
        </w:rPr>
        <w:t xml:space="preserve">2019 survey </w:t>
      </w:r>
      <w:r w:rsidR="00A234B4">
        <w:rPr>
          <w:rFonts w:ascii="Garamond" w:hAnsi="Garamond"/>
          <w:sz w:val="24"/>
        </w:rPr>
        <w:t xml:space="preserve">data, our 17% response rate does not allow for any statistically significant findings. </w:t>
      </w:r>
      <w:r w:rsidR="00C54AF8">
        <w:rPr>
          <w:rFonts w:ascii="Garamond" w:hAnsi="Garamond"/>
          <w:sz w:val="24"/>
        </w:rPr>
        <w:t>Robust</w:t>
      </w:r>
      <w:r w:rsidR="00A234B4">
        <w:rPr>
          <w:rFonts w:ascii="Garamond" w:hAnsi="Garamond"/>
          <w:sz w:val="24"/>
        </w:rPr>
        <w:t xml:space="preserve"> </w:t>
      </w:r>
      <w:r>
        <w:rPr>
          <w:rFonts w:ascii="Garamond" w:hAnsi="Garamond"/>
          <w:sz w:val="24"/>
        </w:rPr>
        <w:t xml:space="preserve">participation </w:t>
      </w:r>
      <w:r w:rsidR="00C54AF8">
        <w:rPr>
          <w:rFonts w:ascii="Garamond" w:hAnsi="Garamond"/>
          <w:sz w:val="24"/>
        </w:rPr>
        <w:t xml:space="preserve">is </w:t>
      </w:r>
      <w:r w:rsidR="00C54AF8">
        <w:rPr>
          <w:rFonts w:ascii="Garamond" w:hAnsi="Garamond"/>
          <w:sz w:val="24"/>
        </w:rPr>
        <w:lastRenderedPageBreak/>
        <w:t>required for a</w:t>
      </w:r>
      <w:r>
        <w:rPr>
          <w:rFonts w:ascii="Garamond" w:hAnsi="Garamond"/>
          <w:sz w:val="24"/>
        </w:rPr>
        <w:t xml:space="preserve"> </w:t>
      </w:r>
      <w:r w:rsidR="001E484D">
        <w:rPr>
          <w:rFonts w:ascii="Garamond" w:hAnsi="Garamond"/>
          <w:sz w:val="24"/>
        </w:rPr>
        <w:t xml:space="preserve">complete </w:t>
      </w:r>
      <w:r>
        <w:rPr>
          <w:rFonts w:ascii="Garamond" w:hAnsi="Garamond"/>
          <w:sz w:val="24"/>
        </w:rPr>
        <w:t xml:space="preserve">picture and </w:t>
      </w:r>
      <w:r w:rsidR="00C54AF8">
        <w:rPr>
          <w:rFonts w:ascii="Garamond" w:hAnsi="Garamond"/>
          <w:sz w:val="24"/>
        </w:rPr>
        <w:t xml:space="preserve">subsequent </w:t>
      </w:r>
      <w:r w:rsidR="00A234B4">
        <w:rPr>
          <w:rFonts w:ascii="Garamond" w:hAnsi="Garamond"/>
          <w:sz w:val="24"/>
        </w:rPr>
        <w:t xml:space="preserve">improvements. </w:t>
      </w:r>
      <w:r w:rsidR="00DB32EF" w:rsidRPr="00DB32EF">
        <w:rPr>
          <w:rFonts w:ascii="Garamond" w:hAnsi="Garamond"/>
          <w:sz w:val="24"/>
        </w:rPr>
        <w:t>Implementing a transparent and efficient system to disseminate the gathered data to key stakeholders, e.g., student governments and Greek life leadership, would be worthwhile after each survey administration</w:t>
      </w:r>
      <w:r w:rsidR="00A234B4">
        <w:rPr>
          <w:rFonts w:ascii="Garamond" w:hAnsi="Garamond"/>
          <w:sz w:val="24"/>
        </w:rPr>
        <w:t xml:space="preserve">. </w:t>
      </w:r>
      <w:r w:rsidR="001603A9">
        <w:rPr>
          <w:rFonts w:ascii="Garamond" w:hAnsi="Garamond"/>
          <w:sz w:val="24"/>
        </w:rPr>
        <w:t>Past</w:t>
      </w:r>
      <w:r w:rsidR="00A234B4">
        <w:rPr>
          <w:rFonts w:ascii="Garamond" w:hAnsi="Garamond"/>
          <w:sz w:val="24"/>
        </w:rPr>
        <w:t xml:space="preserve"> messaging encouraged students to participate in the survey as it informs prevention and education programs; however, solidifying this nebulous plea into specific delivery and discussion methods may lead to increased participation.  </w:t>
      </w:r>
    </w:p>
    <w:p w14:paraId="5C80A1C5" w14:textId="402CC03F" w:rsidR="001E4A15" w:rsidRPr="00A234B4" w:rsidRDefault="001E4A15" w:rsidP="00747F4E">
      <w:pPr>
        <w:pStyle w:val="ListParagraph"/>
        <w:numPr>
          <w:ilvl w:val="0"/>
          <w:numId w:val="3"/>
        </w:numPr>
        <w:spacing w:after="0" w:line="360" w:lineRule="auto"/>
        <w:rPr>
          <w:rFonts w:ascii="Garamond" w:hAnsi="Garamond"/>
          <w:b/>
          <w:sz w:val="24"/>
        </w:rPr>
      </w:pPr>
      <w:r w:rsidRPr="00A234B4">
        <w:rPr>
          <w:rFonts w:ascii="Garamond" w:hAnsi="Garamond"/>
          <w:b/>
          <w:sz w:val="24"/>
        </w:rPr>
        <w:t xml:space="preserve">Expand </w:t>
      </w:r>
      <w:r w:rsidR="001E484D">
        <w:rPr>
          <w:rFonts w:ascii="Garamond" w:hAnsi="Garamond"/>
          <w:b/>
          <w:sz w:val="24"/>
        </w:rPr>
        <w:t xml:space="preserve">the </w:t>
      </w:r>
      <w:r w:rsidR="00D10A08" w:rsidRPr="00A234B4">
        <w:rPr>
          <w:rFonts w:ascii="Garamond" w:hAnsi="Garamond"/>
          <w:b/>
          <w:sz w:val="24"/>
        </w:rPr>
        <w:t xml:space="preserve">survey </w:t>
      </w:r>
      <w:r w:rsidRPr="00A234B4">
        <w:rPr>
          <w:rFonts w:ascii="Garamond" w:hAnsi="Garamond"/>
          <w:b/>
          <w:sz w:val="24"/>
        </w:rPr>
        <w:t xml:space="preserve">to </w:t>
      </w:r>
      <w:r w:rsidR="00D10A08" w:rsidRPr="00A234B4">
        <w:rPr>
          <w:rFonts w:ascii="Garamond" w:hAnsi="Garamond"/>
          <w:b/>
          <w:sz w:val="24"/>
        </w:rPr>
        <w:t xml:space="preserve">include </w:t>
      </w:r>
      <w:r w:rsidRPr="00A234B4">
        <w:rPr>
          <w:rFonts w:ascii="Garamond" w:hAnsi="Garamond"/>
          <w:b/>
          <w:sz w:val="24"/>
        </w:rPr>
        <w:t>faculty and staff</w:t>
      </w:r>
      <w:r w:rsidR="00A234B4">
        <w:rPr>
          <w:rFonts w:ascii="Garamond" w:hAnsi="Garamond"/>
          <w:b/>
          <w:sz w:val="24"/>
        </w:rPr>
        <w:t>.</w:t>
      </w:r>
      <w:r w:rsidRPr="00A234B4">
        <w:rPr>
          <w:rFonts w:ascii="Garamond" w:hAnsi="Garamond"/>
          <w:b/>
          <w:sz w:val="24"/>
        </w:rPr>
        <w:t xml:space="preserve"> </w:t>
      </w:r>
      <w:r w:rsidR="003774C4" w:rsidRPr="003774C4">
        <w:rPr>
          <w:rFonts w:ascii="Garamond" w:hAnsi="Garamond"/>
          <w:sz w:val="24"/>
        </w:rPr>
        <w:t xml:space="preserve">Though </w:t>
      </w:r>
      <w:r w:rsidR="003774C4">
        <w:rPr>
          <w:rFonts w:ascii="Garamond" w:hAnsi="Garamond"/>
          <w:sz w:val="24"/>
        </w:rPr>
        <w:t>surveying faculty, staff</w:t>
      </w:r>
      <w:r w:rsidR="001E484D">
        <w:rPr>
          <w:rFonts w:ascii="Garamond" w:hAnsi="Garamond"/>
          <w:sz w:val="24"/>
        </w:rPr>
        <w:t xml:space="preserve">, </w:t>
      </w:r>
      <w:r w:rsidR="003774C4">
        <w:rPr>
          <w:rFonts w:ascii="Garamond" w:hAnsi="Garamond"/>
          <w:sz w:val="24"/>
        </w:rPr>
        <w:t xml:space="preserve">and administrators </w:t>
      </w:r>
      <w:r w:rsidR="001E484D">
        <w:rPr>
          <w:rFonts w:ascii="Garamond" w:hAnsi="Garamond"/>
          <w:sz w:val="24"/>
        </w:rPr>
        <w:t xml:space="preserve">are </w:t>
      </w:r>
      <w:r w:rsidR="003774C4">
        <w:rPr>
          <w:rFonts w:ascii="Garamond" w:hAnsi="Garamond"/>
          <w:sz w:val="24"/>
        </w:rPr>
        <w:t>optional</w:t>
      </w:r>
      <w:r w:rsidR="003774C4" w:rsidRPr="003774C4">
        <w:rPr>
          <w:rFonts w:ascii="Garamond" w:hAnsi="Garamond"/>
          <w:sz w:val="24"/>
        </w:rPr>
        <w:t xml:space="preserve"> under</w:t>
      </w:r>
      <w:r w:rsidR="003774C4">
        <w:rPr>
          <w:rFonts w:ascii="Garamond" w:hAnsi="Garamond"/>
          <w:b/>
          <w:sz w:val="24"/>
        </w:rPr>
        <w:t xml:space="preserve"> </w:t>
      </w:r>
      <w:r w:rsidR="003774C4" w:rsidRPr="005039A9">
        <w:rPr>
          <w:rFonts w:ascii="Garamond" w:hAnsi="Garamond"/>
          <w:sz w:val="24"/>
        </w:rPr>
        <w:t>New York State Education Law Article 129-B</w:t>
      </w:r>
      <w:r w:rsidR="003774C4" w:rsidRPr="003774C4">
        <w:rPr>
          <w:rFonts w:ascii="Garamond" w:hAnsi="Garamond"/>
          <w:sz w:val="24"/>
        </w:rPr>
        <w:t>, it would be useful</w:t>
      </w:r>
      <w:r w:rsidR="003774C4">
        <w:rPr>
          <w:rFonts w:ascii="Garamond" w:hAnsi="Garamond"/>
          <w:sz w:val="24"/>
        </w:rPr>
        <w:t xml:space="preserve"> to expand to include these groups</w:t>
      </w:r>
      <w:r w:rsidR="001603A9">
        <w:rPr>
          <w:rFonts w:ascii="Garamond" w:hAnsi="Garamond"/>
          <w:sz w:val="24"/>
        </w:rPr>
        <w:t xml:space="preserve"> given the small, </w:t>
      </w:r>
      <w:r w:rsidR="003774C4">
        <w:rPr>
          <w:rFonts w:ascii="Garamond" w:hAnsi="Garamond"/>
          <w:sz w:val="24"/>
        </w:rPr>
        <w:t xml:space="preserve">familial environment of the Colleges, </w:t>
      </w:r>
      <w:r w:rsidR="001603A9">
        <w:rPr>
          <w:rFonts w:ascii="Garamond" w:hAnsi="Garamond"/>
          <w:sz w:val="24"/>
        </w:rPr>
        <w:t xml:space="preserve">where </w:t>
      </w:r>
      <w:r w:rsidR="003774C4">
        <w:rPr>
          <w:rFonts w:ascii="Garamond" w:hAnsi="Garamond"/>
          <w:sz w:val="24"/>
        </w:rPr>
        <w:t>faculty, staff</w:t>
      </w:r>
      <w:r w:rsidR="001E484D">
        <w:rPr>
          <w:rFonts w:ascii="Garamond" w:hAnsi="Garamond"/>
          <w:sz w:val="24"/>
        </w:rPr>
        <w:t xml:space="preserve">, </w:t>
      </w:r>
      <w:r w:rsidR="003774C4">
        <w:rPr>
          <w:rFonts w:ascii="Garamond" w:hAnsi="Garamond"/>
          <w:sz w:val="24"/>
        </w:rPr>
        <w:t xml:space="preserve">and student culture(s) easily overlap with each other. </w:t>
      </w:r>
      <w:r w:rsidR="001B6EB3" w:rsidRPr="001B6EB3">
        <w:rPr>
          <w:rFonts w:ascii="Garamond" w:hAnsi="Garamond"/>
          <w:sz w:val="24"/>
        </w:rPr>
        <w:t>It is recommended that the entire campus community be engaged to garner comprehensive guidance for changes to policy and practice around sexual violence prevention and implement these sustainably.</w:t>
      </w:r>
    </w:p>
    <w:p w14:paraId="4DCADDE7" w14:textId="0035D8C7" w:rsidR="00D10A08" w:rsidRDefault="003774C4" w:rsidP="00747F4E">
      <w:pPr>
        <w:pStyle w:val="ListParagraph"/>
        <w:numPr>
          <w:ilvl w:val="0"/>
          <w:numId w:val="3"/>
        </w:numPr>
        <w:spacing w:after="0" w:line="360" w:lineRule="auto"/>
        <w:rPr>
          <w:rFonts w:ascii="Garamond" w:hAnsi="Garamond"/>
          <w:sz w:val="24"/>
        </w:rPr>
      </w:pPr>
      <w:r>
        <w:rPr>
          <w:rFonts w:ascii="Garamond" w:hAnsi="Garamond"/>
          <w:b/>
          <w:sz w:val="24"/>
        </w:rPr>
        <w:t xml:space="preserve">Rework questions to assess a more </w:t>
      </w:r>
      <w:r w:rsidR="001B6EB3">
        <w:rPr>
          <w:rFonts w:ascii="Garamond" w:hAnsi="Garamond"/>
          <w:b/>
          <w:sz w:val="24"/>
        </w:rPr>
        <w:t xml:space="preserve">substantial </w:t>
      </w:r>
      <w:r>
        <w:rPr>
          <w:rFonts w:ascii="Garamond" w:hAnsi="Garamond"/>
          <w:b/>
          <w:sz w:val="24"/>
        </w:rPr>
        <w:t xml:space="preserve">amount of time. </w:t>
      </w:r>
      <w:r w:rsidRPr="003774C4">
        <w:rPr>
          <w:rFonts w:ascii="Garamond" w:hAnsi="Garamond"/>
          <w:sz w:val="24"/>
        </w:rPr>
        <w:t xml:space="preserve">Currently, </w:t>
      </w:r>
      <w:r>
        <w:rPr>
          <w:rFonts w:ascii="Garamond" w:hAnsi="Garamond"/>
          <w:sz w:val="24"/>
        </w:rPr>
        <w:t xml:space="preserve">the survey </w:t>
      </w:r>
      <w:r w:rsidRPr="003774C4">
        <w:rPr>
          <w:rFonts w:ascii="Garamond" w:hAnsi="Garamond"/>
          <w:sz w:val="24"/>
        </w:rPr>
        <w:t xml:space="preserve">questions </w:t>
      </w:r>
      <w:r>
        <w:rPr>
          <w:rFonts w:ascii="Garamond" w:hAnsi="Garamond"/>
          <w:sz w:val="24"/>
        </w:rPr>
        <w:t>ask students if they have</w:t>
      </w:r>
      <w:r w:rsidRPr="003774C4">
        <w:rPr>
          <w:rFonts w:ascii="Garamond" w:hAnsi="Garamond"/>
          <w:sz w:val="24"/>
        </w:rPr>
        <w:t xml:space="preserve"> experienced any </w:t>
      </w:r>
      <w:r w:rsidR="00797FB9">
        <w:rPr>
          <w:rFonts w:ascii="Garamond" w:hAnsi="Garamond"/>
          <w:sz w:val="24"/>
        </w:rPr>
        <w:t xml:space="preserve">prohibited </w:t>
      </w:r>
      <w:r w:rsidRPr="003774C4">
        <w:rPr>
          <w:rFonts w:ascii="Garamond" w:hAnsi="Garamond"/>
          <w:sz w:val="24"/>
        </w:rPr>
        <w:t xml:space="preserve">behaviors </w:t>
      </w:r>
      <w:r>
        <w:rPr>
          <w:rFonts w:ascii="Garamond" w:hAnsi="Garamond"/>
          <w:sz w:val="24"/>
        </w:rPr>
        <w:t xml:space="preserve">“since starting at HWS.” It is challenging to track data when </w:t>
      </w:r>
      <w:r w:rsidR="00797FB9">
        <w:rPr>
          <w:rFonts w:ascii="Garamond" w:hAnsi="Garamond"/>
          <w:sz w:val="24"/>
        </w:rPr>
        <w:t>the bi-annual administration of the survey does not assess the concrete span of the academic or calendar year prior</w:t>
      </w:r>
      <w:r w:rsidR="001B6EB3">
        <w:rPr>
          <w:rFonts w:ascii="Garamond" w:hAnsi="Garamond"/>
          <w:sz w:val="24"/>
        </w:rPr>
        <w:t xml:space="preserve"> </w:t>
      </w:r>
      <w:r w:rsidR="00797FB9">
        <w:rPr>
          <w:rFonts w:ascii="Garamond" w:hAnsi="Garamond"/>
          <w:sz w:val="24"/>
        </w:rPr>
        <w:t>but rather the more subjective “since starting at HWS.”</w:t>
      </w:r>
    </w:p>
    <w:p w14:paraId="7AAFD0DD" w14:textId="281113D7" w:rsidR="00797FB9" w:rsidRDefault="001E4A15" w:rsidP="00747F4E">
      <w:pPr>
        <w:pStyle w:val="ListParagraph"/>
        <w:numPr>
          <w:ilvl w:val="0"/>
          <w:numId w:val="3"/>
        </w:numPr>
        <w:spacing w:after="0" w:line="360" w:lineRule="auto"/>
        <w:rPr>
          <w:rFonts w:ascii="Garamond" w:hAnsi="Garamond"/>
          <w:sz w:val="24"/>
        </w:rPr>
      </w:pPr>
      <w:r w:rsidRPr="00797FB9">
        <w:rPr>
          <w:rFonts w:ascii="Garamond" w:hAnsi="Garamond"/>
          <w:b/>
          <w:sz w:val="24"/>
        </w:rPr>
        <w:t>Develop key metrics to track longitudinally</w:t>
      </w:r>
      <w:r w:rsidR="00797FB9">
        <w:rPr>
          <w:rFonts w:ascii="Garamond" w:hAnsi="Garamond"/>
          <w:sz w:val="24"/>
        </w:rPr>
        <w:t xml:space="preserve">. If the survey instrument </w:t>
      </w:r>
      <w:r w:rsidR="001B6EB3">
        <w:rPr>
          <w:rFonts w:ascii="Garamond" w:hAnsi="Garamond"/>
          <w:sz w:val="24"/>
        </w:rPr>
        <w:t>can</w:t>
      </w:r>
      <w:r w:rsidR="00797FB9">
        <w:rPr>
          <w:rFonts w:ascii="Garamond" w:hAnsi="Garamond"/>
          <w:sz w:val="24"/>
        </w:rPr>
        <w:t xml:space="preserve"> be limited to a more </w:t>
      </w:r>
      <w:r w:rsidR="001B6EB3">
        <w:rPr>
          <w:rFonts w:ascii="Garamond" w:hAnsi="Garamond"/>
          <w:sz w:val="24"/>
        </w:rPr>
        <w:t xml:space="preserve">substantial </w:t>
      </w:r>
      <w:r w:rsidR="00797FB9">
        <w:rPr>
          <w:rFonts w:ascii="Garamond" w:hAnsi="Garamond"/>
          <w:sz w:val="24"/>
        </w:rPr>
        <w:t xml:space="preserve">amount of time, as discussed above, key metrics to consider </w:t>
      </w:r>
      <w:r w:rsidR="001B6EB3">
        <w:rPr>
          <w:rFonts w:ascii="Garamond" w:hAnsi="Garamond"/>
          <w:sz w:val="24"/>
        </w:rPr>
        <w:t xml:space="preserve">following </w:t>
      </w:r>
      <w:r w:rsidR="00797FB9">
        <w:rPr>
          <w:rFonts w:ascii="Garamond" w:hAnsi="Garamond"/>
          <w:sz w:val="24"/>
        </w:rPr>
        <w:t xml:space="preserve">to measure </w:t>
      </w:r>
      <w:r w:rsidR="001B6EB3">
        <w:rPr>
          <w:rFonts w:ascii="Garamond" w:hAnsi="Garamond"/>
          <w:sz w:val="24"/>
        </w:rPr>
        <w:t xml:space="preserve">the efficiency </w:t>
      </w:r>
      <w:r w:rsidR="00797FB9">
        <w:rPr>
          <w:rFonts w:ascii="Garamond" w:hAnsi="Garamond"/>
          <w:sz w:val="24"/>
        </w:rPr>
        <w:t>of prevention and resource education could include:</w:t>
      </w:r>
    </w:p>
    <w:p w14:paraId="45ECA858" w14:textId="179C922C" w:rsidR="00E25470" w:rsidRPr="00E25470" w:rsidRDefault="00235639" w:rsidP="00747F4E">
      <w:pPr>
        <w:pStyle w:val="ListParagraph"/>
        <w:numPr>
          <w:ilvl w:val="2"/>
          <w:numId w:val="3"/>
        </w:numPr>
        <w:spacing w:after="0" w:line="360" w:lineRule="auto"/>
        <w:rPr>
          <w:rFonts w:ascii="Garamond" w:hAnsi="Garamond"/>
          <w:b/>
          <w:sz w:val="24"/>
        </w:rPr>
      </w:pPr>
      <w:r>
        <w:rPr>
          <w:rFonts w:ascii="Garamond" w:hAnsi="Garamond"/>
          <w:sz w:val="24"/>
        </w:rPr>
        <w:t xml:space="preserve">Perception of students’ </w:t>
      </w:r>
      <w:r w:rsidR="001B6EB3">
        <w:rPr>
          <w:rFonts w:ascii="Garamond" w:hAnsi="Garamond"/>
          <w:sz w:val="24"/>
        </w:rPr>
        <w:t xml:space="preserve">concerns </w:t>
      </w:r>
      <w:r>
        <w:rPr>
          <w:rFonts w:ascii="Garamond" w:hAnsi="Garamond"/>
          <w:sz w:val="24"/>
        </w:rPr>
        <w:t xml:space="preserve">about each other’s welfare </w:t>
      </w:r>
      <w:r w:rsidR="001B6EB3">
        <w:rPr>
          <w:rFonts w:ascii="Garamond" w:hAnsi="Garamond"/>
          <w:sz w:val="24"/>
        </w:rPr>
        <w:t>or</w:t>
      </w:r>
      <w:r>
        <w:rPr>
          <w:rFonts w:ascii="Garamond" w:hAnsi="Garamond"/>
          <w:sz w:val="24"/>
        </w:rPr>
        <w:t xml:space="preserve"> their </w:t>
      </w:r>
      <w:r w:rsidR="001B6EB3">
        <w:rPr>
          <w:rFonts w:ascii="Garamond" w:hAnsi="Garamond"/>
          <w:sz w:val="24"/>
        </w:rPr>
        <w:t xml:space="preserve">contributions </w:t>
      </w:r>
      <w:r>
        <w:rPr>
          <w:rFonts w:ascii="Garamond" w:hAnsi="Garamond"/>
          <w:sz w:val="24"/>
        </w:rPr>
        <w:t xml:space="preserve">to a positive and supportive campus environment </w:t>
      </w:r>
      <w:r w:rsidR="00E25470" w:rsidRPr="00E25470">
        <w:rPr>
          <w:rFonts w:ascii="Garamond" w:hAnsi="Garamond"/>
          <w:b/>
          <w:sz w:val="24"/>
        </w:rPr>
        <w:tab/>
      </w:r>
      <w:r w:rsidR="00E25470" w:rsidRPr="00E25470">
        <w:rPr>
          <w:rFonts w:ascii="Garamond" w:hAnsi="Garamond"/>
          <w:b/>
          <w:sz w:val="24"/>
        </w:rPr>
        <w:tab/>
      </w:r>
      <w:r w:rsidR="00E25470" w:rsidRPr="00E25470">
        <w:rPr>
          <w:rFonts w:ascii="Garamond" w:hAnsi="Garamond"/>
          <w:b/>
          <w:sz w:val="24"/>
        </w:rPr>
        <w:tab/>
      </w:r>
      <w:r w:rsidR="00E25470" w:rsidRPr="00E25470">
        <w:rPr>
          <w:rFonts w:ascii="Garamond" w:hAnsi="Garamond"/>
          <w:b/>
          <w:sz w:val="24"/>
        </w:rPr>
        <w:tab/>
      </w:r>
    </w:p>
    <w:p w14:paraId="23030DC4" w14:textId="77777777" w:rsidR="00235639" w:rsidRPr="00D00466" w:rsidRDefault="00235639" w:rsidP="00747F4E">
      <w:pPr>
        <w:pStyle w:val="ListParagraph"/>
        <w:numPr>
          <w:ilvl w:val="2"/>
          <w:numId w:val="3"/>
        </w:numPr>
        <w:spacing w:after="0" w:line="360" w:lineRule="auto"/>
        <w:rPr>
          <w:rFonts w:ascii="Garamond" w:hAnsi="Garamond"/>
          <w:sz w:val="24"/>
        </w:rPr>
      </w:pPr>
      <w:r w:rsidRPr="00D00466">
        <w:rPr>
          <w:rFonts w:ascii="Garamond" w:hAnsi="Garamond"/>
          <w:sz w:val="24"/>
        </w:rPr>
        <w:t>Rate of intervention in situations that could have led to sexual assault</w:t>
      </w:r>
      <w:r w:rsidRPr="00D00466">
        <w:rPr>
          <w:rFonts w:ascii="Garamond" w:hAnsi="Garamond"/>
          <w:sz w:val="24"/>
        </w:rPr>
        <w:tab/>
      </w:r>
    </w:p>
    <w:p w14:paraId="4733CADB" w14:textId="77777777" w:rsidR="00235639" w:rsidRDefault="00235639" w:rsidP="00747F4E">
      <w:pPr>
        <w:pStyle w:val="ListParagraph"/>
        <w:numPr>
          <w:ilvl w:val="2"/>
          <w:numId w:val="3"/>
        </w:numPr>
        <w:spacing w:after="0" w:line="360" w:lineRule="auto"/>
        <w:rPr>
          <w:rFonts w:ascii="Garamond" w:hAnsi="Garamond"/>
          <w:sz w:val="24"/>
        </w:rPr>
      </w:pPr>
      <w:r>
        <w:rPr>
          <w:rFonts w:ascii="Garamond" w:hAnsi="Garamond"/>
          <w:sz w:val="24"/>
        </w:rPr>
        <w:t>Number of attempted sexual assaults (might track inversely with #2)</w:t>
      </w:r>
    </w:p>
    <w:p w14:paraId="28FA054F" w14:textId="77777777" w:rsidR="00911F8C" w:rsidRDefault="00235639" w:rsidP="00911F8C">
      <w:pPr>
        <w:pStyle w:val="ListParagraph"/>
        <w:numPr>
          <w:ilvl w:val="2"/>
          <w:numId w:val="3"/>
        </w:numPr>
        <w:spacing w:after="0" w:line="360" w:lineRule="auto"/>
        <w:rPr>
          <w:rFonts w:ascii="Garamond" w:hAnsi="Garamond"/>
          <w:sz w:val="24"/>
        </w:rPr>
      </w:pPr>
      <w:r w:rsidRPr="00E25470">
        <w:rPr>
          <w:rFonts w:ascii="Garamond" w:hAnsi="Garamond"/>
          <w:sz w:val="24"/>
        </w:rPr>
        <w:t xml:space="preserve">Number of sexual assaults </w:t>
      </w:r>
    </w:p>
    <w:p w14:paraId="1AAA61B2" w14:textId="77777777" w:rsidR="001E4A15" w:rsidRPr="00911F8C" w:rsidRDefault="00235639" w:rsidP="00911F8C">
      <w:pPr>
        <w:pStyle w:val="ListParagraph"/>
        <w:numPr>
          <w:ilvl w:val="2"/>
          <w:numId w:val="3"/>
        </w:numPr>
        <w:spacing w:after="0" w:line="360" w:lineRule="auto"/>
        <w:rPr>
          <w:rFonts w:ascii="Garamond" w:hAnsi="Garamond"/>
          <w:sz w:val="24"/>
        </w:rPr>
      </w:pPr>
      <w:r w:rsidRPr="00911F8C">
        <w:rPr>
          <w:rFonts w:ascii="Garamond" w:hAnsi="Garamond"/>
          <w:sz w:val="24"/>
        </w:rPr>
        <w:t>Location of sexual assaults</w:t>
      </w:r>
      <w:r w:rsidR="00E25470" w:rsidRPr="00911F8C">
        <w:rPr>
          <w:rFonts w:ascii="Garamond" w:hAnsi="Garamond"/>
          <w:b/>
          <w:sz w:val="24"/>
        </w:rPr>
        <w:tab/>
      </w:r>
      <w:r w:rsidR="00E25470" w:rsidRPr="00911F8C">
        <w:rPr>
          <w:rFonts w:ascii="Garamond" w:hAnsi="Garamond"/>
          <w:b/>
          <w:sz w:val="24"/>
        </w:rPr>
        <w:tab/>
      </w:r>
      <w:r w:rsidR="00E25470" w:rsidRPr="00911F8C">
        <w:rPr>
          <w:rFonts w:ascii="Garamond" w:hAnsi="Garamond"/>
          <w:b/>
          <w:sz w:val="24"/>
        </w:rPr>
        <w:tab/>
      </w:r>
      <w:r w:rsidR="00E25470" w:rsidRPr="00911F8C">
        <w:rPr>
          <w:rFonts w:ascii="Garamond" w:hAnsi="Garamond"/>
          <w:b/>
          <w:sz w:val="24"/>
        </w:rPr>
        <w:tab/>
      </w:r>
      <w:r w:rsidR="00E25470" w:rsidRPr="00911F8C">
        <w:rPr>
          <w:rFonts w:ascii="Garamond" w:hAnsi="Garamond"/>
          <w:b/>
          <w:sz w:val="24"/>
        </w:rPr>
        <w:tab/>
      </w:r>
      <w:r w:rsidR="00E25470" w:rsidRPr="00911F8C">
        <w:rPr>
          <w:rFonts w:ascii="Garamond" w:hAnsi="Garamond"/>
          <w:b/>
          <w:sz w:val="24"/>
        </w:rPr>
        <w:tab/>
      </w:r>
      <w:r w:rsidR="00E25470" w:rsidRPr="00911F8C">
        <w:rPr>
          <w:rFonts w:ascii="Garamond" w:hAnsi="Garamond"/>
          <w:b/>
          <w:sz w:val="24"/>
        </w:rPr>
        <w:tab/>
      </w:r>
      <w:r w:rsidR="00E25470" w:rsidRPr="00911F8C">
        <w:rPr>
          <w:rFonts w:ascii="Garamond" w:hAnsi="Garamond"/>
          <w:b/>
          <w:sz w:val="24"/>
        </w:rPr>
        <w:tab/>
      </w:r>
      <w:r w:rsidR="00E25470" w:rsidRPr="00911F8C">
        <w:rPr>
          <w:rFonts w:ascii="Garamond" w:hAnsi="Garamond"/>
          <w:b/>
          <w:sz w:val="24"/>
        </w:rPr>
        <w:tab/>
      </w:r>
      <w:r w:rsidR="00E25470" w:rsidRPr="00911F8C">
        <w:rPr>
          <w:rFonts w:ascii="Garamond" w:hAnsi="Garamond"/>
          <w:b/>
          <w:sz w:val="24"/>
        </w:rPr>
        <w:tab/>
      </w:r>
      <w:r w:rsidR="00E25470" w:rsidRPr="00911F8C">
        <w:rPr>
          <w:rFonts w:ascii="Garamond" w:hAnsi="Garamond"/>
          <w:b/>
          <w:sz w:val="24"/>
        </w:rPr>
        <w:tab/>
      </w:r>
      <w:r w:rsidR="00E25470" w:rsidRPr="00911F8C">
        <w:rPr>
          <w:rFonts w:ascii="Garamond" w:hAnsi="Garamond"/>
          <w:b/>
          <w:sz w:val="24"/>
        </w:rPr>
        <w:tab/>
      </w:r>
      <w:r w:rsidR="00D00466" w:rsidRPr="00911F8C">
        <w:rPr>
          <w:rFonts w:ascii="Garamond" w:hAnsi="Garamond"/>
          <w:b/>
          <w:sz w:val="24"/>
        </w:rPr>
        <w:tab/>
      </w:r>
      <w:r w:rsidR="00D00466" w:rsidRPr="00911F8C">
        <w:rPr>
          <w:rFonts w:ascii="Garamond" w:hAnsi="Garamond"/>
          <w:b/>
          <w:sz w:val="24"/>
        </w:rPr>
        <w:tab/>
      </w:r>
      <w:r w:rsidR="00D00466" w:rsidRPr="00911F8C">
        <w:rPr>
          <w:rFonts w:ascii="Garamond" w:hAnsi="Garamond"/>
          <w:b/>
          <w:sz w:val="24"/>
        </w:rPr>
        <w:tab/>
      </w:r>
      <w:r w:rsidR="00D00466" w:rsidRPr="00911F8C">
        <w:rPr>
          <w:rFonts w:ascii="Garamond" w:hAnsi="Garamond"/>
          <w:b/>
          <w:sz w:val="24"/>
        </w:rPr>
        <w:tab/>
      </w:r>
      <w:r w:rsidR="00D00466" w:rsidRPr="00911F8C">
        <w:rPr>
          <w:rFonts w:ascii="Garamond" w:hAnsi="Garamond"/>
          <w:b/>
          <w:sz w:val="24"/>
        </w:rPr>
        <w:tab/>
      </w:r>
    </w:p>
    <w:sectPr w:rsidR="001E4A15" w:rsidRPr="00911F8C" w:rsidSect="00336C5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5A15"/>
    <w:multiLevelType w:val="hybridMultilevel"/>
    <w:tmpl w:val="CB889520"/>
    <w:lvl w:ilvl="0" w:tplc="8EB2DC1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0403FD"/>
    <w:multiLevelType w:val="hybridMultilevel"/>
    <w:tmpl w:val="7C02D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6AA3B28">
      <w:start w:val="1"/>
      <w:numFmt w:val="decimal"/>
      <w:lvlText w:val="%3."/>
      <w:lvlJc w:val="left"/>
      <w:pPr>
        <w:ind w:left="2160" w:hanging="360"/>
      </w:pPr>
      <w:rPr>
        <w:rFonts w:ascii="Garamond" w:eastAsiaTheme="minorHAnsi" w:hAnsi="Garamond" w:cstheme="minorBidi"/>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4B79A8"/>
    <w:multiLevelType w:val="hybridMultilevel"/>
    <w:tmpl w:val="0598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D6"/>
    <w:rsid w:val="00030918"/>
    <w:rsid w:val="00047553"/>
    <w:rsid w:val="00066F1A"/>
    <w:rsid w:val="00076E40"/>
    <w:rsid w:val="00085CDC"/>
    <w:rsid w:val="000A4AE8"/>
    <w:rsid w:val="000C1EB4"/>
    <w:rsid w:val="000D1EA7"/>
    <w:rsid w:val="000E03E5"/>
    <w:rsid w:val="0010620E"/>
    <w:rsid w:val="001161B3"/>
    <w:rsid w:val="00132908"/>
    <w:rsid w:val="00135076"/>
    <w:rsid w:val="001363FF"/>
    <w:rsid w:val="00153E2E"/>
    <w:rsid w:val="001603A9"/>
    <w:rsid w:val="00161BB8"/>
    <w:rsid w:val="001A67D6"/>
    <w:rsid w:val="001B2B70"/>
    <w:rsid w:val="001B6EB3"/>
    <w:rsid w:val="001E484D"/>
    <w:rsid w:val="001E4A15"/>
    <w:rsid w:val="0020341D"/>
    <w:rsid w:val="002262D0"/>
    <w:rsid w:val="00231A09"/>
    <w:rsid w:val="00235639"/>
    <w:rsid w:val="00286649"/>
    <w:rsid w:val="00296B1B"/>
    <w:rsid w:val="002B065E"/>
    <w:rsid w:val="002C4586"/>
    <w:rsid w:val="002D7EAB"/>
    <w:rsid w:val="002E75A3"/>
    <w:rsid w:val="002F40EA"/>
    <w:rsid w:val="00336C5D"/>
    <w:rsid w:val="003406C8"/>
    <w:rsid w:val="003460E9"/>
    <w:rsid w:val="0035583A"/>
    <w:rsid w:val="003774C4"/>
    <w:rsid w:val="00381FA7"/>
    <w:rsid w:val="00412EDB"/>
    <w:rsid w:val="00414BB7"/>
    <w:rsid w:val="00414FF0"/>
    <w:rsid w:val="004278D0"/>
    <w:rsid w:val="004554E7"/>
    <w:rsid w:val="00487BB0"/>
    <w:rsid w:val="004B767B"/>
    <w:rsid w:val="005039A9"/>
    <w:rsid w:val="005377B2"/>
    <w:rsid w:val="00544623"/>
    <w:rsid w:val="0055092F"/>
    <w:rsid w:val="0055710A"/>
    <w:rsid w:val="00560470"/>
    <w:rsid w:val="00574BF2"/>
    <w:rsid w:val="00591445"/>
    <w:rsid w:val="005B5F13"/>
    <w:rsid w:val="005F2ABC"/>
    <w:rsid w:val="005F38B4"/>
    <w:rsid w:val="00602B30"/>
    <w:rsid w:val="00606683"/>
    <w:rsid w:val="006204CF"/>
    <w:rsid w:val="00621269"/>
    <w:rsid w:val="00622CB2"/>
    <w:rsid w:val="0062385C"/>
    <w:rsid w:val="006427F0"/>
    <w:rsid w:val="006746E8"/>
    <w:rsid w:val="00706086"/>
    <w:rsid w:val="00710A9A"/>
    <w:rsid w:val="00747F4E"/>
    <w:rsid w:val="00757987"/>
    <w:rsid w:val="00775253"/>
    <w:rsid w:val="00797FB9"/>
    <w:rsid w:val="007C45AA"/>
    <w:rsid w:val="007F1582"/>
    <w:rsid w:val="0080227F"/>
    <w:rsid w:val="00830308"/>
    <w:rsid w:val="008425C0"/>
    <w:rsid w:val="009110D4"/>
    <w:rsid w:val="00911F8C"/>
    <w:rsid w:val="009206CC"/>
    <w:rsid w:val="009532E2"/>
    <w:rsid w:val="009548B0"/>
    <w:rsid w:val="0096615B"/>
    <w:rsid w:val="00981DA9"/>
    <w:rsid w:val="009A2C72"/>
    <w:rsid w:val="009B36F5"/>
    <w:rsid w:val="009D3F7F"/>
    <w:rsid w:val="00A234B4"/>
    <w:rsid w:val="00A647A2"/>
    <w:rsid w:val="00A816D6"/>
    <w:rsid w:val="00AB53F3"/>
    <w:rsid w:val="00AC5237"/>
    <w:rsid w:val="00AE4A4B"/>
    <w:rsid w:val="00B17985"/>
    <w:rsid w:val="00B219E9"/>
    <w:rsid w:val="00B6724C"/>
    <w:rsid w:val="00BA6DCE"/>
    <w:rsid w:val="00C4048D"/>
    <w:rsid w:val="00C54AF8"/>
    <w:rsid w:val="00C54D19"/>
    <w:rsid w:val="00C56F92"/>
    <w:rsid w:val="00CB70B1"/>
    <w:rsid w:val="00CC0681"/>
    <w:rsid w:val="00CC5EC6"/>
    <w:rsid w:val="00CE1307"/>
    <w:rsid w:val="00CF3D6F"/>
    <w:rsid w:val="00D00466"/>
    <w:rsid w:val="00D10A08"/>
    <w:rsid w:val="00D1259B"/>
    <w:rsid w:val="00D7116A"/>
    <w:rsid w:val="00D73B6C"/>
    <w:rsid w:val="00D74F2D"/>
    <w:rsid w:val="00D87D76"/>
    <w:rsid w:val="00D90E9D"/>
    <w:rsid w:val="00DB32EF"/>
    <w:rsid w:val="00DE1396"/>
    <w:rsid w:val="00E12FAA"/>
    <w:rsid w:val="00E25470"/>
    <w:rsid w:val="00E25B29"/>
    <w:rsid w:val="00E3446D"/>
    <w:rsid w:val="00E51B12"/>
    <w:rsid w:val="00E61853"/>
    <w:rsid w:val="00E72F61"/>
    <w:rsid w:val="00E73106"/>
    <w:rsid w:val="00ED2537"/>
    <w:rsid w:val="00EE4DB6"/>
    <w:rsid w:val="00F2582F"/>
    <w:rsid w:val="00F61A35"/>
    <w:rsid w:val="00F62F43"/>
    <w:rsid w:val="00F941BB"/>
    <w:rsid w:val="00FB0A68"/>
    <w:rsid w:val="00FE5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67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0D4"/>
    <w:pPr>
      <w:ind w:left="720"/>
      <w:contextualSpacing/>
    </w:pPr>
  </w:style>
  <w:style w:type="table" w:customStyle="1" w:styleId="GridTableLight">
    <w:name w:val="Grid Table Light"/>
    <w:basedOn w:val="TableNormal"/>
    <w:uiPriority w:val="40"/>
    <w:rsid w:val="0004755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030918"/>
    <w:rPr>
      <w:color w:val="0563C1" w:themeColor="hyperlink"/>
      <w:u w:val="single"/>
    </w:rPr>
  </w:style>
  <w:style w:type="paragraph" w:styleId="Revision">
    <w:name w:val="Revision"/>
    <w:hidden/>
    <w:uiPriority w:val="99"/>
    <w:semiHidden/>
    <w:rsid w:val="00D90E9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0D4"/>
    <w:pPr>
      <w:ind w:left="720"/>
      <w:contextualSpacing/>
    </w:pPr>
  </w:style>
  <w:style w:type="table" w:customStyle="1" w:styleId="GridTableLight">
    <w:name w:val="Grid Table Light"/>
    <w:basedOn w:val="TableNormal"/>
    <w:uiPriority w:val="40"/>
    <w:rsid w:val="0004755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030918"/>
    <w:rPr>
      <w:color w:val="0563C1" w:themeColor="hyperlink"/>
      <w:u w:val="single"/>
    </w:rPr>
  </w:style>
  <w:style w:type="paragraph" w:styleId="Revision">
    <w:name w:val="Revision"/>
    <w:hidden/>
    <w:uiPriority w:val="99"/>
    <w:semiHidden/>
    <w:rsid w:val="00D90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7780">
      <w:bodyDiv w:val="1"/>
      <w:marLeft w:val="0"/>
      <w:marRight w:val="0"/>
      <w:marTop w:val="0"/>
      <w:marBottom w:val="0"/>
      <w:divBdr>
        <w:top w:val="none" w:sz="0" w:space="0" w:color="auto"/>
        <w:left w:val="none" w:sz="0" w:space="0" w:color="auto"/>
        <w:bottom w:val="none" w:sz="0" w:space="0" w:color="auto"/>
        <w:right w:val="none" w:sz="0" w:space="0" w:color="auto"/>
      </w:divBdr>
    </w:div>
    <w:div w:id="603466903">
      <w:bodyDiv w:val="1"/>
      <w:marLeft w:val="0"/>
      <w:marRight w:val="0"/>
      <w:marTop w:val="0"/>
      <w:marBottom w:val="0"/>
      <w:divBdr>
        <w:top w:val="none" w:sz="0" w:space="0" w:color="auto"/>
        <w:left w:val="none" w:sz="0" w:space="0" w:color="auto"/>
        <w:bottom w:val="none" w:sz="0" w:space="0" w:color="auto"/>
        <w:right w:val="none" w:sz="0" w:space="0" w:color="auto"/>
      </w:divBdr>
    </w:div>
    <w:div w:id="118922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ws.edu/studentlife/titleix_survey.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2374</Words>
  <Characters>13538</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GESICKI, REGINA</dc:creator>
  <cp:keywords/>
  <dc:description/>
  <cp:lastModifiedBy>Megan Metz</cp:lastModifiedBy>
  <cp:revision>2</cp:revision>
  <dcterms:created xsi:type="dcterms:W3CDTF">2022-11-15T18:28:00Z</dcterms:created>
  <dcterms:modified xsi:type="dcterms:W3CDTF">2022-11-15T18:28:00Z</dcterms:modified>
</cp:coreProperties>
</file>