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jc w:val="center"/>
        <w:outlineLvl w:val="0"/>
        <w:rPr>
          <w:rFonts w:ascii="Aptos" w:cs="Aptos" w:hAnsi="Aptos" w:eastAsia="Aptos"/>
          <w:sz w:val="10"/>
          <w:szCs w:val="10"/>
        </w:rPr>
      </w:pPr>
      <w:r>
        <w:rPr>
          <w:rFonts w:ascii="Aptos" w:cs="Aptos" w:hAnsi="Aptos" w:eastAsia="Aptos"/>
          <w:sz w:val="56"/>
          <w:szCs w:val="56"/>
          <w:rtl w:val="0"/>
          <w:lang w:val="en-US"/>
        </w:rPr>
        <w:t>The Big Picture</w:t>
      </w:r>
      <w:r>
        <w:rPr>
          <w:rFonts w:ascii="Aptos" w:cs="Aptos" w:hAnsi="Aptos" w:eastAsia="Aptos"/>
          <w:sz w:val="96"/>
          <w:szCs w:val="96"/>
          <w:rtl w:val="0"/>
          <w:lang w:val="en-US"/>
        </w:rPr>
        <w:t xml:space="preserve"> </w:t>
      </w:r>
      <w:r>
        <w:rPr>
          <w:rFonts w:ascii="Aptos" w:cs="Aptos" w:hAnsi="Aptos" w:eastAsia="Aptos"/>
          <w:sz w:val="56"/>
          <w:szCs w:val="56"/>
          <w:rtl w:val="0"/>
          <w:lang w:val="en-US"/>
        </w:rPr>
        <w:t>Fall Semester 2024</w:t>
      </w:r>
    </w:p>
    <w:p>
      <w:pPr>
        <w:pStyle w:val="Header"/>
        <w:jc w:val="center"/>
        <w:outlineLvl w:val="0"/>
        <w:rPr>
          <w:rFonts w:ascii="Aptos" w:cs="Aptos" w:hAnsi="Aptos" w:eastAsia="Aptos"/>
          <w:sz w:val="10"/>
          <w:szCs w:val="10"/>
        </w:rPr>
      </w:pPr>
    </w:p>
    <w:p>
      <w:pPr>
        <w:pStyle w:val="Header"/>
        <w:jc w:val="center"/>
        <w:outlineLvl w:val="0"/>
        <w:rPr>
          <w:rFonts w:ascii="Aptos" w:cs="Aptos" w:hAnsi="Aptos" w:eastAsia="Aptos"/>
          <w:sz w:val="10"/>
          <w:szCs w:val="10"/>
        </w:rPr>
      </w:pPr>
    </w:p>
    <w:tbl>
      <w:tblPr>
        <w:tblW w:w="148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"/>
        <w:gridCol w:w="540"/>
        <w:gridCol w:w="2340"/>
        <w:gridCol w:w="2520"/>
        <w:gridCol w:w="2430"/>
        <w:gridCol w:w="2430"/>
        <w:gridCol w:w="2430"/>
        <w:gridCol w:w="810"/>
        <w:gridCol w:w="810"/>
      </w:tblGrid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WK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  <w:r>
              <w:rPr>
                <w:rFonts w:ascii="Aptos" w:cs="Aptos" w:hAnsi="Aptos" w:eastAsia="Aptos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SAT.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SUN.</w:t>
            </w:r>
          </w:p>
        </w:tc>
      </w:tr>
      <w:tr>
        <w:tblPrEx>
          <w:shd w:val="clear" w:color="auto" w:fill="ced7e7"/>
        </w:tblPrEx>
        <w:trPr>
          <w:trHeight w:val="975" w:hRule="atLeast"/>
        </w:trPr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August 19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NEW STUDENT ORIENTATION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20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NEW STUDENT ORIENTATION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NEW STUDENT ORIENTATION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22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NEW STUDENT ORIENTATION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23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NEW STUDENT ORIENTATION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25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AUG.</w:t>
            </w:r>
          </w:p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August 26</w:t>
            </w:r>
          </w:p>
          <w:p>
            <w:pPr>
              <w:pStyle w:val="Normal.0"/>
              <w:rPr>
                <w:rFonts w:ascii="Aptos" w:cs="Aptos" w:hAnsi="Aptos" w:eastAsia="Apto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First Day of Classes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30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Last day to drop/add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Sept 1</w:t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54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SEPTEMBER</w:t>
            </w:r>
          </w:p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18"/>
                <w:szCs w:val="18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18"/>
                <w:szCs w:val="18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OCTOBER</w:t>
            </w: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October 1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ptos" w:cs="Aptos" w:hAnsi="Aptos" w:eastAsia="Aptos"/>
                <w:shd w:val="nil" w:color="auto" w:fill="auto"/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Homecoming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&amp; Family Weekend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  <w:lang w:val="en-US"/>
              </w:rPr>
              <w:t xml:space="preserve">Homecoming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  <w:lang w:val="en-US"/>
              </w:rPr>
              <w:t>&amp; Family Weekend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  <w:lang w:val="en-US"/>
              </w:rPr>
              <w:t xml:space="preserve">Homecoming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  <w:lang w:val="en-US"/>
              </w:rPr>
              <w:t>&amp; Family Weekend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7 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b w:val="0"/>
                <w:bCs w:val="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8"/>
                <w:szCs w:val="18"/>
                <w:shd w:val="nil" w:color="auto" w:fill="auto"/>
                <w:rtl w:val="0"/>
                <w:lang w:val="en-US"/>
              </w:rPr>
              <w:t>Fall Recess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13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ptos" w:cs="Aptos" w:hAnsi="Aptos" w:eastAsia="Apto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ptos" w:cs="Aptos" w:hAnsi="Aptos" w:eastAsia="Aptos"/>
                <w:sz w:val="18"/>
                <w:szCs w:val="18"/>
                <w:shd w:val="nil" w:color="auto" w:fill="auto"/>
                <w:rtl w:val="0"/>
                <w:lang w:val="en-US"/>
              </w:rPr>
              <w:t>Fall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8"/>
                <w:szCs w:val="18"/>
                <w:shd w:val="nil" w:color="auto" w:fill="auto"/>
                <w:rtl w:val="0"/>
                <w:lang w:val="en-US"/>
              </w:rPr>
              <w:t>Recess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Fall Recess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15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Fall Recess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22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23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24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25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26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27</w:t>
            </w: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28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Advising 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29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Advising 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30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Advising 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Advising 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November 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 xml:space="preserve">Advising 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NOVEMBER</w:t>
            </w:r>
          </w:p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Advising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Advising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Advising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Advising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Advising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13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15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18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19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20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22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Registration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</w:rPr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27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Thanksgiving Recess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28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Thanksgiving Recess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29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Thanksgiving Recess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30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  <w:lang w:val="en-US"/>
              </w:rPr>
              <w:t>Thanksgiving Recess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Dec.1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0"/>
                <w:szCs w:val="10"/>
                <w:shd w:val="nil" w:color="auto" w:fill="auto"/>
                <w:rtl w:val="0"/>
                <w:lang w:val="en-US"/>
              </w:rPr>
              <w:t>Thanksgiving Recess</w:t>
            </w:r>
          </w:p>
        </w:tc>
      </w:tr>
      <w:tr>
        <w:tblPrEx>
          <w:shd w:val="clear" w:color="auto" w:fill="ced7e7"/>
        </w:tblPrEx>
        <w:trPr>
          <w:trHeight w:val="1135" w:hRule="atLeast"/>
        </w:trPr>
        <w:tc>
          <w:tcPr>
            <w:tcW w:type="dxa" w:w="54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DECEMBER</w:t>
            </w:r>
          </w:p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ptos" w:cs="Aptos" w:hAnsi="Aptos" w:eastAsia="Aptos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December 2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Aptos" w:cs="Aptos" w:hAnsi="Aptos" w:eastAsia="Aptos"/>
                <w:shd w:val="nil" w:color="auto" w:fill="auto"/>
              </w:rPr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Last Day of Classes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6"/>
                <w:szCs w:val="16"/>
                <w:shd w:val="nil" w:color="auto" w:fill="auto"/>
                <w:rtl w:val="0"/>
                <w:lang w:val="en-US"/>
              </w:rPr>
              <w:t>Reading Days</w:t>
            </w:r>
            <w:r>
              <w:rPr>
                <w:rFonts w:ascii="Aptos" w:cs="Aptos" w:hAnsi="Aptos" w:eastAsia="Aptos"/>
                <w:sz w:val="13"/>
                <w:szCs w:val="13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6"/>
                <w:szCs w:val="16"/>
                <w:shd w:val="nil" w:color="auto" w:fill="auto"/>
                <w:rtl w:val="0"/>
                <w:lang w:val="en-US"/>
              </w:rPr>
              <w:t>Reading Days</w:t>
            </w:r>
            <w:r>
              <w:rPr>
                <w:rFonts w:ascii="Aptos" w:cs="Aptos" w:hAnsi="Aptos" w:eastAsia="Aptos"/>
                <w:sz w:val="13"/>
                <w:szCs w:val="13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54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9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Reading Days</w:t>
            </w:r>
          </w:p>
        </w:tc>
        <w:tc>
          <w:tcPr>
            <w:tcW w:type="dxa" w:w="25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10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b w:val="0"/>
                <w:bCs w:val="0"/>
                <w:shd w:val="nil" w:color="auto" w:fill="auto"/>
                <w:rtl w:val="0"/>
                <w:lang w:val="en-US"/>
              </w:rPr>
              <w:t>Final Exams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Final Exams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Final Exams</w:t>
            </w:r>
          </w:p>
        </w:tc>
        <w:tc>
          <w:tcPr>
            <w:tcW w:type="dxa" w:w="2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13</w:t>
            </w: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20"/>
                <w:szCs w:val="20"/>
                <w:shd w:val="nil" w:color="auto" w:fill="auto"/>
                <w:rtl w:val="0"/>
                <w:lang w:val="en-US"/>
              </w:rPr>
              <w:t>Final Exams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Normal.0"/>
              <w:rPr>
                <w:rFonts w:ascii="Aptos" w:cs="Aptos" w:hAnsi="Aptos" w:eastAsia="Aptos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ptos" w:cs="Aptos" w:hAnsi="Aptos" w:eastAsia="Aptos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ptos" w:cs="Aptos" w:hAnsi="Aptos" w:eastAsia="Aptos"/>
                <w:sz w:val="13"/>
                <w:szCs w:val="13"/>
                <w:shd w:val="nil" w:color="auto" w:fill="auto"/>
                <w:rtl w:val="0"/>
                <w:lang w:val="en-US"/>
              </w:rPr>
              <w:t>Residences close @ noon</w:t>
            </w:r>
            <w:r>
              <w:rPr>
                <w:rFonts w:ascii="Aptos" w:cs="Aptos" w:hAnsi="Aptos" w:eastAsia="Aptos"/>
                <w:sz w:val="13"/>
                <w:szCs w:val="13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hd w:val="nil" w:color="auto" w:fill="auto"/>
              </w:rPr>
            </w:pPr>
            <w:r>
              <w:rPr>
                <w:rFonts w:ascii="Aptos" w:cs="Aptos" w:hAnsi="Aptos" w:eastAsia="Aptos"/>
                <w:shd w:val="nil" w:color="auto" w:fill="auto"/>
                <w:rtl w:val="0"/>
                <w:lang w:val="en-US"/>
              </w:rPr>
              <w:t>15</w:t>
            </w:r>
          </w:p>
          <w:p>
            <w:pPr>
              <w:pStyle w:val="Normal.0"/>
            </w:pPr>
            <w:r>
              <w:rPr>
                <w:rFonts w:ascii="Aptos" w:cs="Aptos" w:hAnsi="Aptos" w:eastAsia="Aptos"/>
                <w:shd w:val="nil" w:color="auto" w:fill="auto"/>
                <w:lang w:val="en-US"/>
              </w:rPr>
            </w:r>
          </w:p>
        </w:tc>
      </w:tr>
    </w:tbl>
    <w:p>
      <w:pPr>
        <w:pStyle w:val="Header"/>
        <w:widowControl w:val="0"/>
        <w:jc w:val="center"/>
        <w:outlineLvl w:val="0"/>
        <w:rPr>
          <w:rFonts w:ascii="Aptos" w:cs="Aptos" w:hAnsi="Aptos" w:eastAsia="Aptos"/>
          <w:sz w:val="10"/>
          <w:szCs w:val="10"/>
        </w:rPr>
      </w:pPr>
    </w:p>
    <w:tbl>
      <w:tblPr>
        <w:tblW w:w="2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48"/>
        <w:gridCol w:w="6817"/>
      </w:tblGrid>
      <w:tr>
        <w:tblPrEx>
          <w:shd w:val="clear" w:color="auto" w:fill="ced7e7"/>
        </w:tblPrEx>
        <w:trPr>
          <w:trHeight w:val="1513" w:hRule="atLeast"/>
        </w:trPr>
        <w:tc>
          <w:tcPr>
            <w:tcW w:type="dxa" w:w="13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ptos" w:cs="Aptos" w:hAnsi="Aptos" w:eastAsia="Aptos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Aptos" w:cs="Aptos" w:hAnsi="Aptos" w:eastAsia="Aptos"/>
                <w:sz w:val="36"/>
                <w:szCs w:val="36"/>
                <w:shd w:val="nil" w:color="auto" w:fill="auto"/>
                <w:rtl w:val="0"/>
              </w:rPr>
            </w:pPr>
            <w:r>
              <w:rPr>
                <w:rFonts w:ascii="Aptos" w:cs="Aptos" w:hAnsi="Aptos" w:eastAsia="Aptos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Compliments of the Center for Teaching and Learning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ptos" w:cs="Aptos" w:hAnsi="Aptos" w:eastAsia="Aptos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Second Floor, Warren Hunting Smith Library </w:t>
            </w:r>
          </w:p>
        </w:tc>
        <w:tc>
          <w:tcPr>
            <w:tcW w:type="dxa" w:w="6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ptos" w:cs="Aptos" w:hAnsi="Aptos" w:eastAsia="Aptos"/>
                <w:sz w:val="28"/>
                <w:szCs w:val="28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80314" cy="907085"/>
                  <wp:effectExtent l="0" t="0" r="0" b="0"/>
                  <wp:docPr id="1073741825" name="officeArt object" descr="Qr cod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Qr codeDescription automatically generated" descr="Qr code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80314" cy="9070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</w:pPr>
      <w:r>
        <w:rPr>
          <w:rFonts w:ascii="Aptos" w:cs="Aptos" w:hAnsi="Aptos" w:eastAsia="Aptos"/>
        </w:rPr>
      </w:r>
    </w:p>
    <w:sectPr>
      <w:headerReference w:type="default" r:id="rId5"/>
      <w:footerReference w:type="default" r:id="rId6"/>
      <w:pgSz w:w="15840" w:h="24480" w:orient="portrait"/>
      <w:pgMar w:top="432" w:right="806" w:bottom="446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